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שירלי שי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EC18E2" w:rsidRDefault="00120007">
                <w:pPr>
                  <w:rPr>
                    <w:rFonts w:ascii="Arial (W1)" w:hAnsi="Arial (W1)"/>
                    <w:b/>
                    <w:bCs/>
                    <w:noProof w:val="0"/>
                    <w:sz w:val="28"/>
                    <w:szCs w:val="28"/>
                  </w:rPr>
                </w:pPr>
                <w:r>
                  <w:rPr>
                    <w:rFonts w:hint="cs"/>
                    <w:b/>
                    <w:bCs/>
                    <w:noProof w:val="0"/>
                    <w:sz w:val="28"/>
                    <w:rtl/>
                  </w:rPr>
                  <w:t>תובעים</w:t>
                </w:r>
                <w:r w:rsidR="00C47B04">
                  <w:rPr>
                    <w:rFonts w:hint="cs"/>
                    <w:b/>
                    <w:bCs/>
                    <w:noProof w:val="0"/>
                    <w:sz w:val="28"/>
                    <w:rtl/>
                  </w:rPr>
                  <w:t>:</w:t>
                </w:r>
              </w:p>
            </w:sdtContent>
          </w:sdt>
        </w:tc>
        <w:tc>
          <w:tcPr>
            <w:tcW w:w="5571" w:type="dxa"/>
          </w:tcPr>
          <w:p w:rsidR="006816EC" w:rsidRDefault="006816EC">
            <w:pPr>
              <w:rPr>
                <w:rFonts w:ascii="Arial (W1)" w:hAnsi="Arial (W1)"/>
                <w:b/>
                <w:bCs/>
                <w:noProof w:val="0"/>
                <w:sz w:val="28"/>
                <w:szCs w:val="28"/>
                <w:rtl/>
              </w:rPr>
            </w:pPr>
          </w:p>
          <w:p w:rsidR="008559ED" w:rsidRDefault="00001A4E" w:rsidP="00024ADD">
            <w:pPr>
              <w:rPr>
                <w:rFonts w:ascii="Arial" w:hAnsi="Arial"/>
                <w:b/>
                <w:bCs/>
                <w:noProof w:val="0"/>
                <w:sz w:val="26"/>
                <w:szCs w:val="26"/>
                <w:rtl/>
              </w:rPr>
            </w:pPr>
            <w:sdt>
              <w:sdtPr>
                <w:rPr>
                  <w:rFonts w:hint="cs"/>
                  <w:b/>
                  <w:bCs/>
                  <w:noProof w:val="0"/>
                  <w:sz w:val="28"/>
                  <w:rtl/>
                </w:rPr>
                <w:alias w:val="1462"/>
                <w:tag w:val="1462"/>
                <w:id w:val="-1143353124"/>
                <w:text w:multiLine="1"/>
              </w:sdtPr>
              <w:sdtEndPr/>
              <w:sdtContent>
                <w:r w:rsidR="00E44DDF">
                  <w:rPr>
                    <w:rFonts w:hint="cs"/>
                    <w:b/>
                    <w:bCs/>
                    <w:noProof w:val="0"/>
                    <w:sz w:val="28"/>
                    <w:rtl/>
                  </w:rPr>
                  <w:t>1</w:t>
                </w:r>
              </w:sdtContent>
            </w:sdt>
            <w:r w:rsidR="006816EC">
              <w:rPr>
                <w:rFonts w:hint="cs"/>
                <w:b/>
                <w:bCs/>
                <w:noProof w:val="0"/>
                <w:sz w:val="28"/>
                <w:rtl/>
              </w:rPr>
              <w:t>.</w:t>
            </w:r>
            <w:sdt>
              <w:sdtPr>
                <w:rPr>
                  <w:rFonts w:hint="cs"/>
                  <w:b/>
                  <w:bCs/>
                  <w:noProof w:val="0"/>
                  <w:sz w:val="28"/>
                  <w:rtl/>
                </w:rPr>
                <w:alias w:val="1478"/>
                <w:tag w:val="1478"/>
                <w:id w:val="160126198"/>
                <w:text w:multiLine="1"/>
              </w:sdtPr>
              <w:sdtEndPr/>
              <w:sdtContent>
                <w:r w:rsidR="00024ADD">
                  <w:rPr>
                    <w:b/>
                    <w:bCs/>
                    <w:noProof w:val="0"/>
                    <w:sz w:val="28"/>
                  </w:rPr>
                  <w:t>xxxx</w:t>
                </w:r>
              </w:sdtContent>
            </w:sdt>
          </w:p>
          <w:p w:rsidR="008559ED" w:rsidRDefault="008559ED" w:rsidP="00024ADD">
            <w:pPr>
              <w:rPr>
                <w:rFonts w:ascii="Arial" w:hAnsi="Arial"/>
                <w:b/>
                <w:bCs/>
                <w:noProof w:val="0"/>
                <w:sz w:val="26"/>
                <w:szCs w:val="26"/>
              </w:rPr>
            </w:pPr>
            <w:r>
              <w:rPr>
                <w:rFonts w:ascii="Arial" w:hAnsi="Arial" w:hint="cs"/>
                <w:b/>
                <w:bCs/>
                <w:noProof w:val="0"/>
                <w:sz w:val="26"/>
                <w:szCs w:val="26"/>
                <w:rtl/>
              </w:rPr>
              <w:t xml:space="preserve">2. </w:t>
            </w:r>
            <w:r w:rsidR="00024ADD">
              <w:rPr>
                <w:rFonts w:ascii="Arial" w:hAnsi="Arial"/>
                <w:b/>
                <w:bCs/>
                <w:noProof w:val="0"/>
              </w:rPr>
              <w:t>xxxx</w:t>
            </w:r>
          </w:p>
          <w:p w:rsidR="006816EC" w:rsidRPr="008559ED" w:rsidRDefault="00E44DDF">
            <w:pPr>
              <w:rPr>
                <w:rFonts w:ascii="Arial (W1)" w:hAnsi="Arial (W1)"/>
                <w:b/>
                <w:bCs/>
                <w:noProof w:val="0"/>
              </w:rPr>
            </w:pPr>
            <w:r w:rsidRPr="008559ED">
              <w:rPr>
                <w:rFonts w:ascii="Arial" w:hAnsi="Arial"/>
                <w:b/>
                <w:bCs/>
                <w:noProof w:val="0"/>
                <w:rtl/>
              </w:rPr>
              <w:t>ע"י ב"כ עוה"ד</w:t>
            </w:r>
            <w:r w:rsidR="008559ED">
              <w:rPr>
                <w:rFonts w:ascii="Arial (W1)" w:hAnsi="Arial (W1)" w:hint="cs"/>
                <w:b/>
                <w:bCs/>
                <w:noProof w:val="0"/>
                <w:rtl/>
              </w:rPr>
              <w:t xml:space="preserve"> אדוארד סגל</w:t>
            </w:r>
          </w:p>
          <w:p w:rsidR="006816EC" w:rsidRDefault="006816EC">
            <w:pPr>
              <w:rPr>
                <w:rFonts w:ascii="Arial (W1)" w:hAnsi="Arial (W1)"/>
                <w:b/>
                <w:bCs/>
                <w:noProof w:val="0"/>
                <w:sz w:val="28"/>
                <w:szCs w:val="28"/>
              </w:rPr>
            </w:pP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001A4E">
            <w:pPr>
              <w:rPr>
                <w:rFonts w:ascii="Arial (W1)" w:hAnsi="Arial (W1)"/>
                <w:b/>
                <w:bCs/>
                <w:noProof w:val="0"/>
                <w:sz w:val="28"/>
                <w:szCs w:val="28"/>
              </w:rPr>
            </w:pPr>
            <w:sdt>
              <w:sdtPr>
                <w:rPr>
                  <w:rFonts w:hint="cs"/>
                  <w:rtl/>
                </w:rPr>
                <w:alias w:val="1184"/>
                <w:tag w:val="1184"/>
                <w:id w:val="-910234160"/>
                <w:text w:multiLine="1"/>
              </w:sdtPr>
              <w:sdtEndPr/>
              <w:sdtContent>
                <w:r w:rsidR="00E44DDF">
                  <w:rPr>
                    <w:rFonts w:hint="cs"/>
                    <w:b/>
                    <w:bCs/>
                    <w:noProof w:val="0"/>
                    <w:sz w:val="28"/>
                    <w:rtl/>
                  </w:rPr>
                  <w:t>נתבעים</w:t>
                </w:r>
                <w:r w:rsidR="00C47B04">
                  <w:rPr>
                    <w:rFonts w:hint="cs"/>
                    <w:rtl/>
                  </w:rPr>
                  <w:t>:</w:t>
                </w:r>
              </w:sdtContent>
            </w:sdt>
          </w:p>
        </w:tc>
        <w:tc>
          <w:tcPr>
            <w:tcW w:w="5571" w:type="dxa"/>
          </w:tcPr>
          <w:p w:rsidR="006816EC" w:rsidRDefault="006816EC">
            <w:pPr>
              <w:rPr>
                <w:rFonts w:ascii="Arial (W1)" w:hAnsi="Arial (W1)"/>
                <w:b/>
                <w:bCs/>
                <w:noProof w:val="0"/>
                <w:sz w:val="28"/>
                <w:szCs w:val="28"/>
                <w:rtl/>
              </w:rPr>
            </w:pPr>
          </w:p>
          <w:p w:rsidR="006816EC" w:rsidRDefault="00001A4E" w:rsidP="00024ADD">
            <w:pPr>
              <w:rPr>
                <w:rFonts w:ascii="Arial (W1)" w:hAnsi="Arial (W1)"/>
                <w:b/>
                <w:bCs/>
                <w:noProof w:val="0"/>
                <w:sz w:val="28"/>
                <w:szCs w:val="28"/>
              </w:rPr>
            </w:pPr>
            <w:sdt>
              <w:sdtPr>
                <w:rPr>
                  <w:rFonts w:hint="cs"/>
                  <w:rtl/>
                </w:rPr>
                <w:alias w:val="1571"/>
                <w:tag w:val="1571"/>
                <w:id w:val="-1361515445"/>
                <w:text w:multiLine="1"/>
              </w:sdtPr>
              <w:sdtEndPr/>
              <w:sdtContent>
                <w:r w:rsidR="00E44DDF">
                  <w:rPr>
                    <w:rFonts w:hint="cs"/>
                    <w:b/>
                    <w:bCs/>
                    <w:noProof w:val="0"/>
                    <w:sz w:val="28"/>
                    <w:rtl/>
                  </w:rPr>
                  <w:t>1</w:t>
                </w:r>
              </w:sdtContent>
            </w:sdt>
            <w:r w:rsidR="006816EC">
              <w:rPr>
                <w:rFonts w:hint="cs"/>
                <w:b/>
                <w:bCs/>
                <w:noProof w:val="0"/>
                <w:sz w:val="28"/>
                <w:rtl/>
              </w:rPr>
              <w:t>.</w:t>
            </w:r>
            <w:r w:rsidR="00024ADD">
              <w:rPr>
                <w:b/>
                <w:bCs/>
                <w:noProof w:val="0"/>
                <w:sz w:val="28"/>
              </w:rPr>
              <w:t>xxxx</w:t>
            </w:r>
            <w:r w:rsidR="00E44DDF" w:rsidRPr="001255F9">
              <w:rPr>
                <w:rFonts w:hint="cs"/>
                <w:b/>
                <w:bCs/>
                <w:rtl/>
              </w:rPr>
              <w:t xml:space="preserve"> </w:t>
            </w:r>
          </w:p>
          <w:p w:rsidR="006816EC" w:rsidRDefault="00001A4E" w:rsidP="00024ADD">
            <w:pPr>
              <w:rPr>
                <w:rFonts w:ascii="Arial (W1)" w:hAnsi="Arial (W1)"/>
                <w:b/>
                <w:bCs/>
                <w:noProof w:val="0"/>
                <w:sz w:val="28"/>
                <w:szCs w:val="28"/>
              </w:rPr>
            </w:pPr>
            <w:sdt>
              <w:sdtPr>
                <w:rPr>
                  <w:rFonts w:hint="cs"/>
                  <w:rtl/>
                </w:rPr>
                <w:alias w:val="1571"/>
                <w:tag w:val="1571"/>
                <w:id w:val="-781268126"/>
                <w:text w:multiLine="1"/>
              </w:sdtPr>
              <w:sdtEndPr/>
              <w:sdtContent>
                <w:r w:rsidR="00E44DDF">
                  <w:rPr>
                    <w:rFonts w:hint="cs"/>
                    <w:b/>
                    <w:bCs/>
                    <w:noProof w:val="0"/>
                    <w:sz w:val="28"/>
                    <w:rtl/>
                  </w:rPr>
                  <w:t>2</w:t>
                </w:r>
              </w:sdtContent>
            </w:sdt>
            <w:r w:rsidR="006816EC">
              <w:rPr>
                <w:rFonts w:hint="cs"/>
                <w:b/>
                <w:bCs/>
                <w:noProof w:val="0"/>
                <w:sz w:val="28"/>
                <w:rtl/>
              </w:rPr>
              <w:t>.</w:t>
            </w:r>
            <w:r w:rsidR="00024ADD">
              <w:rPr>
                <w:b/>
                <w:bCs/>
                <w:noProof w:val="0"/>
                <w:sz w:val="28"/>
              </w:rPr>
              <w:t>xxxx</w:t>
            </w:r>
            <w:r w:rsidR="00E44DDF">
              <w:rPr>
                <w:rFonts w:hint="cs"/>
                <w:rtl/>
              </w:rPr>
              <w:t xml:space="preserve"> </w:t>
            </w:r>
          </w:p>
          <w:p w:rsidR="006816EC" w:rsidRDefault="00001A4E" w:rsidP="00024ADD">
            <w:pPr>
              <w:rPr>
                <w:rFonts w:ascii="Arial (W1)" w:hAnsi="Arial (W1)"/>
                <w:b/>
                <w:bCs/>
                <w:noProof w:val="0"/>
                <w:sz w:val="28"/>
                <w:szCs w:val="28"/>
              </w:rPr>
            </w:pPr>
            <w:sdt>
              <w:sdtPr>
                <w:rPr>
                  <w:rFonts w:hint="cs"/>
                  <w:rtl/>
                </w:rPr>
                <w:alias w:val="1571"/>
                <w:tag w:val="1571"/>
                <w:id w:val="1880752290"/>
                <w:text w:multiLine="1"/>
              </w:sdtPr>
              <w:sdtEndPr/>
              <w:sdtContent>
                <w:r w:rsidR="00E44DDF">
                  <w:rPr>
                    <w:rFonts w:hint="cs"/>
                    <w:b/>
                    <w:bCs/>
                    <w:noProof w:val="0"/>
                    <w:sz w:val="28"/>
                    <w:rtl/>
                  </w:rPr>
                  <w:t>3</w:t>
                </w:r>
              </w:sdtContent>
            </w:sdt>
            <w:r w:rsidR="006816EC">
              <w:rPr>
                <w:rFonts w:hint="cs"/>
                <w:b/>
                <w:bCs/>
                <w:noProof w:val="0"/>
                <w:sz w:val="28"/>
                <w:rtl/>
              </w:rPr>
              <w:t>.</w:t>
            </w:r>
            <w:r w:rsidR="00024ADD">
              <w:rPr>
                <w:b/>
                <w:bCs/>
                <w:noProof w:val="0"/>
                <w:sz w:val="28"/>
              </w:rPr>
              <w:t>xxxx</w:t>
            </w:r>
            <w:r w:rsidR="00E44DDF">
              <w:rPr>
                <w:rFonts w:hint="cs"/>
                <w:rtl/>
              </w:rPr>
              <w:t xml:space="preserve"> </w:t>
            </w:r>
          </w:p>
        </w:tc>
      </w:tr>
      <w:tr w:rsidR="00D36A71" w:rsidTr="00A94B1C">
        <w:trPr>
          <w:jc w:val="center"/>
        </w:trPr>
        <w:tc>
          <w:tcPr>
            <w:tcW w:w="8820" w:type="dxa"/>
            <w:gridSpan w:val="3"/>
          </w:tcPr>
          <w:p w:rsidR="00264F8F" w:rsidRDefault="00001A4E" w:rsidP="00024ADD">
            <w:pPr>
              <w:rPr>
                <w:rFonts w:ascii="Arial (W1)" w:hAnsi="Arial (W1)"/>
                <w:b/>
                <w:bCs/>
                <w:noProof w:val="0"/>
                <w:sz w:val="28"/>
                <w:szCs w:val="28"/>
              </w:rPr>
            </w:pPr>
            <w:sdt>
              <w:sdtPr>
                <w:rPr>
                  <w:rFonts w:hint="cs"/>
                  <w:b/>
                  <w:bCs/>
                  <w:noProof w:val="0"/>
                  <w:sz w:val="28"/>
                  <w:rtl/>
                </w:rPr>
                <w:alias w:val="1478"/>
                <w:tag w:val="1478"/>
                <w:id w:val="-841008430"/>
                <w:text w:multiLine="1"/>
              </w:sdtPr>
              <w:sdtEndPr/>
              <w:sdtContent>
                <w:r w:rsidR="008559ED">
                  <w:rPr>
                    <w:rFonts w:hint="cs"/>
                    <w:b/>
                    <w:bCs/>
                    <w:noProof w:val="0"/>
                    <w:sz w:val="28"/>
                    <w:rtl/>
                  </w:rPr>
                  <w:t xml:space="preserve">                                                             4.</w:t>
                </w:r>
              </w:sdtContent>
            </w:sdt>
            <w:r w:rsidR="008559ED">
              <w:rPr>
                <w:rFonts w:hint="cs"/>
                <w:b/>
                <w:bCs/>
                <w:noProof w:val="0"/>
                <w:sz w:val="28"/>
                <w:rtl/>
              </w:rPr>
              <w:t xml:space="preserve"> </w:t>
            </w:r>
            <w:r w:rsidR="00024ADD">
              <w:rPr>
                <w:b/>
                <w:bCs/>
                <w:noProof w:val="0"/>
                <w:sz w:val="28"/>
              </w:rPr>
              <w:t>xxxx</w:t>
            </w:r>
          </w:p>
          <w:p w:rsidR="00C65BFA" w:rsidRDefault="008559ED" w:rsidP="00024ADD">
            <w:pPr>
              <w:rPr>
                <w:rFonts w:ascii="Arial" w:hAnsi="Arial"/>
                <w:b/>
                <w:bCs/>
                <w:noProof w:val="0"/>
                <w:sz w:val="26"/>
                <w:szCs w:val="26"/>
                <w:rtl/>
              </w:rPr>
            </w:pPr>
            <w:r>
              <w:rPr>
                <w:rFonts w:hint="cs"/>
                <w:b/>
                <w:bCs/>
                <w:noProof w:val="0"/>
                <w:sz w:val="28"/>
                <w:rtl/>
              </w:rPr>
              <w:t xml:space="preserve">                                                             5. </w:t>
            </w:r>
            <w:r w:rsidR="00024ADD">
              <w:rPr>
                <w:b/>
                <w:bCs/>
                <w:noProof w:val="0"/>
                <w:sz w:val="28"/>
              </w:rPr>
              <w:t>xxxx</w:t>
            </w:r>
            <w:r w:rsidR="00264F8F">
              <w:rPr>
                <w:rFonts w:hint="cs"/>
                <w:b/>
                <w:bCs/>
                <w:noProof w:val="0"/>
                <w:sz w:val="28"/>
                <w:rtl/>
              </w:rPr>
              <w:t xml:space="preserve"> </w:t>
            </w:r>
          </w:p>
          <w:p w:rsidR="00D36A71" w:rsidRPr="00C65BFA" w:rsidRDefault="00C65BFA" w:rsidP="008559ED">
            <w:pPr>
              <w:rPr>
                <w:rFonts w:ascii="Arial (W1)" w:hAnsi="Arial (W1)"/>
                <w:b/>
                <w:bCs/>
                <w:noProof w:val="0"/>
                <w:rtl/>
              </w:rPr>
            </w:pPr>
            <w:r>
              <w:rPr>
                <w:rFonts w:ascii="Arial" w:hAnsi="Arial" w:hint="cs"/>
                <w:b/>
                <w:bCs/>
                <w:noProof w:val="0"/>
                <w:sz w:val="26"/>
                <w:szCs w:val="26"/>
                <w:rtl/>
              </w:rPr>
              <w:t xml:space="preserve">                                                         </w:t>
            </w:r>
            <w:r w:rsidR="00264F8F" w:rsidRPr="00C65BFA">
              <w:rPr>
                <w:rFonts w:ascii="Arial" w:hAnsi="Arial"/>
                <w:b/>
                <w:bCs/>
                <w:noProof w:val="0"/>
                <w:rtl/>
              </w:rPr>
              <w:t>ע"י ב"כ עוה"</w:t>
            </w:r>
            <w:r w:rsidRPr="00C65BFA">
              <w:rPr>
                <w:rFonts w:ascii="Arial (W1)" w:hAnsi="Arial (W1)" w:hint="cs"/>
                <w:b/>
                <w:bCs/>
                <w:noProof w:val="0"/>
                <w:rtl/>
              </w:rPr>
              <w:t>ד אילן דסאו</w:t>
            </w: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EC18E2" w:rsidRDefault="00EC18E2">
            <w:pPr>
              <w:rPr>
                <w:rFonts w:ascii="David" w:eastAsia="David" w:hAnsi="David"/>
                <w:noProof w:val="0"/>
              </w:rPr>
            </w:pPr>
          </w:p>
        </w:tc>
        <w:tc>
          <w:tcPr>
            <w:tcW w:w="5571" w:type="dxa"/>
          </w:tcPr>
          <w:p w:rsidR="00EC18E2" w:rsidRDefault="00EC18E2">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 xml:space="preserve">בפניי 2 הליכים, אשר קשורים זה בזה. </w:t>
      </w:r>
    </w:p>
    <w:p w:rsidR="00120007" w:rsidRDefault="00120007" w:rsidP="00120007">
      <w:pPr>
        <w:pStyle w:val="ad"/>
        <w:spacing w:line="240" w:lineRule="auto"/>
        <w:ind w:left="651" w:hanging="651"/>
        <w:jc w:val="both"/>
        <w:rPr>
          <w:rFonts w:ascii="David" w:hAnsi="David" w:cs="David"/>
          <w:sz w:val="24"/>
          <w:szCs w:val="24"/>
        </w:rPr>
      </w:pPr>
    </w:p>
    <w:p w:rsidR="00120007" w:rsidRDefault="00814740" w:rsidP="00814740">
      <w:pPr>
        <w:pStyle w:val="ad"/>
        <w:numPr>
          <w:ilvl w:val="0"/>
          <w:numId w:val="1"/>
        </w:numPr>
        <w:spacing w:line="360" w:lineRule="auto"/>
        <w:ind w:left="651" w:hanging="651"/>
        <w:jc w:val="both"/>
        <w:rPr>
          <w:rFonts w:ascii="David" w:hAnsi="David" w:cs="David"/>
          <w:sz w:val="24"/>
          <w:szCs w:val="24"/>
        </w:rPr>
      </w:pPr>
      <w:r>
        <w:rPr>
          <w:rFonts w:ascii="David" w:hAnsi="David" w:cs="David" w:hint="cs"/>
          <w:sz w:val="24"/>
          <w:szCs w:val="24"/>
          <w:rtl/>
        </w:rPr>
        <w:t>הליך אחד</w:t>
      </w:r>
      <w:r w:rsidR="00525DB5">
        <w:rPr>
          <w:rFonts w:ascii="David" w:hAnsi="David" w:cs="David"/>
          <w:sz w:val="24"/>
          <w:szCs w:val="24"/>
          <w:rtl/>
        </w:rPr>
        <w:t xml:space="preserve">, תביעת מר </w:t>
      </w:r>
      <w:r w:rsidR="00525DB5">
        <w:rPr>
          <w:rFonts w:ascii="David" w:hAnsi="David" w:cs="David"/>
          <w:sz w:val="24"/>
          <w:szCs w:val="24"/>
        </w:rPr>
        <w:t>xxxx</w:t>
      </w:r>
      <w:r w:rsidR="00525DB5">
        <w:rPr>
          <w:rFonts w:ascii="David" w:hAnsi="David" w:cs="David"/>
          <w:sz w:val="24"/>
          <w:szCs w:val="24"/>
          <w:rtl/>
        </w:rPr>
        <w:t xml:space="preserve"> ואישתו גב' </w:t>
      </w:r>
      <w:r w:rsidR="00525DB5">
        <w:rPr>
          <w:rFonts w:ascii="David" w:hAnsi="David" w:cs="David"/>
          <w:sz w:val="24"/>
          <w:szCs w:val="24"/>
        </w:rPr>
        <w:t>xxxx</w:t>
      </w:r>
      <w:r w:rsidR="00120007">
        <w:rPr>
          <w:rFonts w:ascii="David" w:hAnsi="David" w:cs="David"/>
          <w:sz w:val="24"/>
          <w:szCs w:val="24"/>
          <w:rtl/>
        </w:rPr>
        <w:t xml:space="preserve"> (לשם הנוחות יקראו להלן: "</w:t>
      </w:r>
      <w:r w:rsidR="00120007">
        <w:rPr>
          <w:rFonts w:ascii="David" w:hAnsi="David" w:cs="David"/>
          <w:b/>
          <w:bCs/>
          <w:sz w:val="24"/>
          <w:szCs w:val="24"/>
          <w:rtl/>
        </w:rPr>
        <w:t>התובעים ו/או "התובע" ו"התובעת" בהתאמה</w:t>
      </w:r>
      <w:r w:rsidR="00120007">
        <w:rPr>
          <w:rFonts w:ascii="David" w:hAnsi="David" w:cs="David"/>
          <w:sz w:val="24"/>
          <w:szCs w:val="24"/>
          <w:rtl/>
        </w:rPr>
        <w:t>), למתן פסק דין הצהרתי ואכיפת הסכם, בתמ"ש 24044-09-20.</w:t>
      </w:r>
    </w:p>
    <w:p w:rsidR="00120007" w:rsidRDefault="00120007" w:rsidP="00120007">
      <w:pPr>
        <w:pStyle w:val="ad"/>
        <w:ind w:left="651" w:hanging="651"/>
        <w:rPr>
          <w:rFonts w:ascii="David" w:hAnsi="David" w:cs="David"/>
          <w:sz w:val="24"/>
          <w:szCs w:val="24"/>
        </w:rPr>
      </w:pPr>
    </w:p>
    <w:p w:rsidR="00120007" w:rsidRDefault="00814740" w:rsidP="00525DB5">
      <w:pPr>
        <w:pStyle w:val="ad"/>
        <w:numPr>
          <w:ilvl w:val="0"/>
          <w:numId w:val="1"/>
        </w:numPr>
        <w:spacing w:line="360" w:lineRule="auto"/>
        <w:ind w:left="651" w:hanging="651"/>
        <w:jc w:val="both"/>
        <w:rPr>
          <w:rFonts w:ascii="David" w:hAnsi="David" w:cs="David"/>
          <w:sz w:val="24"/>
          <w:szCs w:val="24"/>
          <w:rtl/>
        </w:rPr>
      </w:pPr>
      <w:r>
        <w:rPr>
          <w:rFonts w:ascii="David" w:hAnsi="David" w:cs="David" w:hint="cs"/>
          <w:sz w:val="24"/>
          <w:szCs w:val="24"/>
          <w:rtl/>
        </w:rPr>
        <w:t>הליך נוסף,</w:t>
      </w:r>
      <w:r w:rsidR="00120007">
        <w:rPr>
          <w:rFonts w:ascii="David" w:hAnsi="David" w:cs="David"/>
          <w:sz w:val="24"/>
          <w:szCs w:val="24"/>
          <w:rtl/>
        </w:rPr>
        <w:t xml:space="preserve"> תביעת 3 </w:t>
      </w:r>
      <w:r w:rsidR="00525DB5">
        <w:rPr>
          <w:rFonts w:ascii="David" w:hAnsi="David" w:cs="David"/>
          <w:sz w:val="24"/>
          <w:szCs w:val="24"/>
          <w:rtl/>
        </w:rPr>
        <w:t xml:space="preserve">אחיו של התובע: 1. מר </w:t>
      </w:r>
      <w:r w:rsidR="00525DB5">
        <w:rPr>
          <w:rFonts w:ascii="David" w:hAnsi="David" w:cs="David"/>
          <w:sz w:val="24"/>
          <w:szCs w:val="24"/>
        </w:rPr>
        <w:t>xxxx</w:t>
      </w:r>
      <w:r w:rsidR="00525DB5">
        <w:rPr>
          <w:rFonts w:ascii="David" w:hAnsi="David" w:cs="David"/>
          <w:sz w:val="24"/>
          <w:szCs w:val="24"/>
          <w:rtl/>
        </w:rPr>
        <w:t xml:space="preserve">, 2. גב' </w:t>
      </w:r>
      <w:r w:rsidR="00525DB5">
        <w:rPr>
          <w:rFonts w:ascii="David" w:hAnsi="David" w:cs="David"/>
          <w:sz w:val="24"/>
          <w:szCs w:val="24"/>
        </w:rPr>
        <w:t>xxxx</w:t>
      </w:r>
      <w:r w:rsidR="00525DB5">
        <w:rPr>
          <w:rFonts w:ascii="David" w:hAnsi="David" w:cs="David"/>
          <w:sz w:val="24"/>
          <w:szCs w:val="24"/>
          <w:rtl/>
        </w:rPr>
        <w:t xml:space="preserve">, 3. גב' </w:t>
      </w:r>
      <w:r w:rsidR="00525DB5">
        <w:rPr>
          <w:rFonts w:ascii="David" w:hAnsi="David" w:cs="David"/>
          <w:sz w:val="24"/>
          <w:szCs w:val="24"/>
        </w:rPr>
        <w:t>xxxx</w:t>
      </w:r>
      <w:r w:rsidR="00120007">
        <w:rPr>
          <w:rFonts w:ascii="David" w:hAnsi="David" w:cs="David"/>
          <w:sz w:val="24"/>
          <w:szCs w:val="24"/>
          <w:rtl/>
        </w:rPr>
        <w:t>, בי</w:t>
      </w:r>
      <w:r w:rsidR="00525DB5">
        <w:rPr>
          <w:rFonts w:ascii="David" w:hAnsi="David" w:cs="David"/>
          <w:sz w:val="24"/>
          <w:szCs w:val="24"/>
          <w:rtl/>
        </w:rPr>
        <w:t xml:space="preserve">חד עם יורשי אחות הצדדים, </w:t>
      </w:r>
      <w:r w:rsidR="00525DB5">
        <w:rPr>
          <w:rFonts w:ascii="David" w:hAnsi="David" w:cs="David"/>
          <w:sz w:val="24"/>
          <w:szCs w:val="24"/>
        </w:rPr>
        <w:t>xxxx</w:t>
      </w:r>
      <w:r w:rsidR="00120007">
        <w:rPr>
          <w:rFonts w:ascii="David" w:hAnsi="David" w:cs="David"/>
          <w:sz w:val="24"/>
          <w:szCs w:val="24"/>
          <w:rtl/>
        </w:rPr>
        <w:t xml:space="preserve"> ז"ל (להלן: "</w:t>
      </w:r>
      <w:r w:rsidR="00120007">
        <w:rPr>
          <w:rFonts w:ascii="David" w:hAnsi="David" w:cs="David"/>
          <w:b/>
          <w:bCs/>
          <w:sz w:val="24"/>
          <w:szCs w:val="24"/>
          <w:rtl/>
        </w:rPr>
        <w:t>האחות המנוחה</w:t>
      </w:r>
      <w:r w:rsidR="00120007">
        <w:rPr>
          <w:rFonts w:ascii="David" w:hAnsi="David" w:cs="David"/>
          <w:sz w:val="24"/>
          <w:szCs w:val="24"/>
          <w:rtl/>
        </w:rPr>
        <w:t xml:space="preserve">"), הגב' </w:t>
      </w:r>
      <w:r w:rsidR="00525DB5">
        <w:rPr>
          <w:rFonts w:ascii="David" w:hAnsi="David" w:cs="David"/>
          <w:sz w:val="24"/>
          <w:szCs w:val="24"/>
        </w:rPr>
        <w:t>xxxx</w:t>
      </w:r>
      <w:r w:rsidR="00120007">
        <w:rPr>
          <w:rFonts w:ascii="David" w:hAnsi="David" w:cs="David"/>
          <w:sz w:val="24"/>
          <w:szCs w:val="24"/>
          <w:rtl/>
        </w:rPr>
        <w:t xml:space="preserve"> ובעל</w:t>
      </w:r>
      <w:r w:rsidR="00525DB5">
        <w:rPr>
          <w:rFonts w:ascii="David" w:hAnsi="David" w:cs="David"/>
          <w:sz w:val="24"/>
          <w:szCs w:val="24"/>
          <w:rtl/>
        </w:rPr>
        <w:t xml:space="preserve">ה מר </w:t>
      </w:r>
      <w:r w:rsidR="00525DB5">
        <w:rPr>
          <w:rFonts w:ascii="David" w:hAnsi="David" w:cs="David"/>
          <w:sz w:val="24"/>
          <w:szCs w:val="24"/>
        </w:rPr>
        <w:t>xxxx</w:t>
      </w:r>
      <w:r w:rsidR="00120007">
        <w:rPr>
          <w:rFonts w:ascii="David" w:hAnsi="David" w:cs="David"/>
          <w:sz w:val="24"/>
          <w:szCs w:val="24"/>
          <w:rtl/>
        </w:rPr>
        <w:t>, (לשם הנוחות יקראו להלן כולם ביחד "</w:t>
      </w:r>
      <w:r w:rsidR="00120007">
        <w:rPr>
          <w:rFonts w:ascii="David" w:hAnsi="David" w:cs="David"/>
          <w:b/>
          <w:bCs/>
          <w:sz w:val="24"/>
          <w:szCs w:val="24"/>
          <w:rtl/>
        </w:rPr>
        <w:t>הנתבעים</w:t>
      </w:r>
      <w:r w:rsidR="00120007">
        <w:rPr>
          <w:rFonts w:ascii="David" w:hAnsi="David" w:cs="David"/>
          <w:sz w:val="24"/>
          <w:szCs w:val="24"/>
          <w:rtl/>
        </w:rPr>
        <w:t xml:space="preserve">" ו/או </w:t>
      </w:r>
      <w:r w:rsidR="00120007">
        <w:rPr>
          <w:rFonts w:ascii="David" w:hAnsi="David" w:cs="David"/>
          <w:b/>
          <w:bCs/>
          <w:sz w:val="24"/>
          <w:szCs w:val="24"/>
          <w:rtl/>
        </w:rPr>
        <w:t>"הנתבע"</w:t>
      </w:r>
      <w:r w:rsidR="00120007">
        <w:rPr>
          <w:rFonts w:ascii="David" w:hAnsi="David" w:cs="David"/>
          <w:sz w:val="24"/>
          <w:szCs w:val="24"/>
          <w:rtl/>
        </w:rPr>
        <w:t xml:space="preserve"> ו/או </w:t>
      </w:r>
      <w:r w:rsidR="00120007">
        <w:rPr>
          <w:rFonts w:ascii="David" w:hAnsi="David" w:cs="David"/>
          <w:b/>
          <w:bCs/>
          <w:sz w:val="24"/>
          <w:szCs w:val="24"/>
          <w:rtl/>
        </w:rPr>
        <w:t>"הנתבעת</w:t>
      </w:r>
      <w:r w:rsidR="00120007">
        <w:rPr>
          <w:rFonts w:ascii="David" w:hAnsi="David" w:cs="David"/>
          <w:sz w:val="24"/>
          <w:szCs w:val="24"/>
          <w:rtl/>
        </w:rPr>
        <w:t xml:space="preserve">" </w:t>
      </w:r>
      <w:r w:rsidR="00120007">
        <w:rPr>
          <w:rFonts w:ascii="David" w:hAnsi="David" w:cs="David"/>
          <w:b/>
          <w:bCs/>
          <w:sz w:val="24"/>
          <w:szCs w:val="24"/>
          <w:rtl/>
        </w:rPr>
        <w:t>בהתאמה</w:t>
      </w:r>
      <w:r w:rsidR="00120007">
        <w:rPr>
          <w:rFonts w:ascii="David" w:hAnsi="David" w:cs="David"/>
          <w:sz w:val="24"/>
          <w:szCs w:val="24"/>
          <w:rtl/>
        </w:rPr>
        <w:t>), לפירוק שיתוף במקרקעין, בתמ"ש 45306-06</w:t>
      </w:r>
      <w:r>
        <w:rPr>
          <w:rFonts w:ascii="David" w:hAnsi="David" w:cs="David" w:hint="cs"/>
          <w:sz w:val="24"/>
          <w:szCs w:val="24"/>
          <w:rtl/>
        </w:rPr>
        <w:t>-</w:t>
      </w:r>
      <w:r w:rsidR="00120007">
        <w:rPr>
          <w:rFonts w:ascii="David" w:hAnsi="David" w:cs="David"/>
          <w:sz w:val="24"/>
          <w:szCs w:val="24"/>
          <w:rtl/>
        </w:rPr>
        <w:t>20 .</w:t>
      </w:r>
    </w:p>
    <w:p w:rsidR="00120007" w:rsidRDefault="00120007" w:rsidP="00120007">
      <w:pPr>
        <w:pStyle w:val="ad"/>
        <w:spacing w:line="240" w:lineRule="auto"/>
        <w:ind w:left="651" w:hanging="651"/>
        <w:jc w:val="both"/>
        <w:rPr>
          <w:rFonts w:ascii="David" w:hAnsi="David" w:cs="David"/>
          <w:sz w:val="24"/>
          <w:szCs w:val="24"/>
        </w:rPr>
      </w:pPr>
    </w:p>
    <w:p w:rsidR="00120007" w:rsidRDefault="00120007" w:rsidP="00FF0FB5">
      <w:pPr>
        <w:pStyle w:val="ad"/>
        <w:numPr>
          <w:ilvl w:val="0"/>
          <w:numId w:val="1"/>
        </w:numPr>
        <w:spacing w:line="360" w:lineRule="auto"/>
        <w:ind w:left="651" w:hanging="651"/>
        <w:jc w:val="both"/>
        <w:rPr>
          <w:rFonts w:ascii="David" w:hAnsi="David" w:cs="David"/>
          <w:sz w:val="24"/>
          <w:szCs w:val="24"/>
        </w:rPr>
      </w:pPr>
      <w:r>
        <w:rPr>
          <w:rFonts w:ascii="David" w:hAnsi="David" w:cs="David"/>
          <w:sz w:val="24"/>
          <w:szCs w:val="24"/>
          <w:rtl/>
        </w:rPr>
        <w:t>סלע המחלוקת בין הצדדים הינה האם בית אימם המנוחה (להלן: "</w:t>
      </w:r>
      <w:r>
        <w:rPr>
          <w:rFonts w:ascii="David" w:hAnsi="David" w:cs="David"/>
          <w:b/>
          <w:bCs/>
          <w:sz w:val="24"/>
          <w:szCs w:val="24"/>
          <w:rtl/>
        </w:rPr>
        <w:t>המנוחה</w:t>
      </w:r>
      <w:r>
        <w:rPr>
          <w:rFonts w:ascii="David" w:hAnsi="David" w:cs="David"/>
          <w:sz w:val="24"/>
          <w:szCs w:val="24"/>
          <w:rtl/>
        </w:rPr>
        <w:t>") של התובע, הנתבעים 1-3</w:t>
      </w:r>
      <w:r w:rsidR="00FF0FB5">
        <w:rPr>
          <w:rFonts w:ascii="David" w:hAnsi="David" w:cs="David"/>
          <w:sz w:val="24"/>
          <w:szCs w:val="24"/>
          <w:rtl/>
        </w:rPr>
        <w:t xml:space="preserve"> והאחות המנוחה, המצוי ברחוב </w:t>
      </w:r>
      <w:r w:rsidR="00FF0FB5">
        <w:rPr>
          <w:rFonts w:ascii="David" w:hAnsi="David" w:cs="David"/>
          <w:sz w:val="24"/>
          <w:szCs w:val="24"/>
        </w:rPr>
        <w:t>xxxx</w:t>
      </w:r>
      <w:r w:rsidR="00FF0FB5">
        <w:rPr>
          <w:rFonts w:ascii="David" w:hAnsi="David" w:cs="David"/>
          <w:sz w:val="24"/>
          <w:szCs w:val="24"/>
          <w:rtl/>
        </w:rPr>
        <w:t xml:space="preserve"> ב</w:t>
      </w:r>
      <w:r w:rsidR="00FF0FB5">
        <w:rPr>
          <w:rFonts w:ascii="David" w:hAnsi="David" w:cs="David"/>
          <w:sz w:val="24"/>
          <w:szCs w:val="24"/>
        </w:rPr>
        <w:t>xxx</w:t>
      </w:r>
      <w:r>
        <w:rPr>
          <w:rFonts w:ascii="David" w:hAnsi="David" w:cs="David"/>
          <w:sz w:val="24"/>
          <w:szCs w:val="24"/>
          <w:rtl/>
        </w:rPr>
        <w:t xml:space="preserve"> והידוע כגוש </w:t>
      </w:r>
      <w:r w:rsidR="00FF0FB5">
        <w:rPr>
          <w:rFonts w:ascii="David" w:hAnsi="David" w:cs="David"/>
          <w:sz w:val="24"/>
          <w:szCs w:val="24"/>
        </w:rPr>
        <w:t>xx</w:t>
      </w:r>
      <w:r>
        <w:rPr>
          <w:rFonts w:ascii="David" w:hAnsi="David" w:cs="David"/>
          <w:sz w:val="24"/>
          <w:szCs w:val="24"/>
          <w:rtl/>
        </w:rPr>
        <w:t xml:space="preserve">, חלקה </w:t>
      </w:r>
      <w:r w:rsidR="00FF0FB5">
        <w:rPr>
          <w:rFonts w:ascii="David" w:hAnsi="David" w:cs="David"/>
          <w:sz w:val="24"/>
          <w:szCs w:val="24"/>
        </w:rPr>
        <w:t>xx</w:t>
      </w:r>
      <w:r>
        <w:rPr>
          <w:rFonts w:ascii="David" w:hAnsi="David" w:cs="David"/>
          <w:sz w:val="24"/>
          <w:szCs w:val="24"/>
          <w:rtl/>
        </w:rPr>
        <w:t xml:space="preserve"> תת </w:t>
      </w:r>
      <w:r>
        <w:rPr>
          <w:rFonts w:ascii="David" w:hAnsi="David" w:cs="David"/>
          <w:sz w:val="24"/>
          <w:szCs w:val="24"/>
          <w:rtl/>
        </w:rPr>
        <w:lastRenderedPageBreak/>
        <w:t xml:space="preserve">חלקה </w:t>
      </w:r>
      <w:r w:rsidR="00FF0FB5">
        <w:rPr>
          <w:rFonts w:ascii="David" w:hAnsi="David" w:cs="David"/>
          <w:sz w:val="24"/>
          <w:szCs w:val="24"/>
        </w:rPr>
        <w:t>x</w:t>
      </w:r>
      <w:r>
        <w:rPr>
          <w:rFonts w:ascii="David" w:hAnsi="David" w:cs="David"/>
          <w:sz w:val="24"/>
          <w:szCs w:val="24"/>
          <w:rtl/>
        </w:rPr>
        <w:t xml:space="preserve"> (להלן: "</w:t>
      </w:r>
      <w:r w:rsidR="00FF0FB5">
        <w:rPr>
          <w:rFonts w:ascii="David" w:hAnsi="David" w:cs="David"/>
          <w:b/>
          <w:bCs/>
          <w:sz w:val="24"/>
          <w:szCs w:val="24"/>
          <w:rtl/>
        </w:rPr>
        <w:t>הבית ב</w:t>
      </w:r>
      <w:r w:rsidR="00FF0FB5">
        <w:rPr>
          <w:rFonts w:ascii="David" w:hAnsi="David" w:cs="David"/>
          <w:b/>
          <w:bCs/>
          <w:sz w:val="24"/>
          <w:szCs w:val="24"/>
        </w:rPr>
        <w:t>xxx</w:t>
      </w:r>
      <w:r>
        <w:rPr>
          <w:rFonts w:ascii="David" w:hAnsi="David" w:cs="David"/>
          <w:sz w:val="24"/>
          <w:szCs w:val="24"/>
          <w:rtl/>
        </w:rPr>
        <w:t>") הינו חלק מע</w:t>
      </w:r>
      <w:r w:rsidR="0029113D">
        <w:rPr>
          <w:rFonts w:ascii="David" w:hAnsi="David" w:cs="David" w:hint="cs"/>
          <w:sz w:val="24"/>
          <w:szCs w:val="24"/>
          <w:rtl/>
        </w:rPr>
        <w:t>י</w:t>
      </w:r>
      <w:r>
        <w:rPr>
          <w:rFonts w:ascii="David" w:hAnsi="David" w:cs="David"/>
          <w:sz w:val="24"/>
          <w:szCs w:val="24"/>
          <w:rtl/>
        </w:rPr>
        <w:t>זבונה של המנוחה, או האם מדובר בבית השייך לתובעים.</w:t>
      </w:r>
    </w:p>
    <w:p w:rsidR="00120007" w:rsidRDefault="00120007" w:rsidP="00120007">
      <w:pPr>
        <w:pStyle w:val="ad"/>
        <w:ind w:left="651" w:hanging="651"/>
        <w:jc w:val="both"/>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 xml:space="preserve">כנגזר ממחלוקת זו, חלוקים הצדדים גם </w:t>
      </w:r>
      <w:r w:rsidR="00FF0FB5">
        <w:rPr>
          <w:rFonts w:ascii="David" w:hAnsi="David" w:cs="David"/>
          <w:sz w:val="24"/>
          <w:szCs w:val="24"/>
          <w:rtl/>
        </w:rPr>
        <w:t>לענין ההשבחות שבוצעו בבית ב</w:t>
      </w:r>
      <w:r w:rsidR="00FF0FB5">
        <w:rPr>
          <w:rFonts w:ascii="David" w:hAnsi="David" w:cs="David"/>
          <w:sz w:val="24"/>
          <w:szCs w:val="24"/>
        </w:rPr>
        <w:t>xxx</w:t>
      </w:r>
      <w:r>
        <w:rPr>
          <w:rFonts w:ascii="David" w:hAnsi="David" w:cs="David"/>
          <w:sz w:val="24"/>
          <w:szCs w:val="24"/>
          <w:rtl/>
        </w:rPr>
        <w:t xml:space="preserve"> והבניה הנוספת, הן לענין חוקיות הבנייה והן לענין שווי הבנייה וההשבחה.</w:t>
      </w:r>
    </w:p>
    <w:p w:rsidR="00120007" w:rsidRDefault="00120007" w:rsidP="00120007">
      <w:pPr>
        <w:spacing w:line="360" w:lineRule="auto"/>
        <w:ind w:left="651" w:hanging="651"/>
        <w:jc w:val="both"/>
        <w:rPr>
          <w:rFonts w:ascii="David" w:hAnsi="David"/>
          <w:b/>
          <w:bCs/>
          <w:sz w:val="26"/>
          <w:szCs w:val="26"/>
          <w:u w:val="single"/>
          <w:rtl/>
        </w:rPr>
      </w:pPr>
      <w:r>
        <w:rPr>
          <w:rFonts w:ascii="David" w:hAnsi="David"/>
          <w:b/>
          <w:bCs/>
          <w:sz w:val="26"/>
          <w:szCs w:val="26"/>
          <w:u w:val="single"/>
          <w:rtl/>
        </w:rPr>
        <w:t>טענות התובעים בתמצית:</w:t>
      </w:r>
    </w:p>
    <w:p w:rsidR="0039123E" w:rsidRDefault="0039123E" w:rsidP="0039123E">
      <w:pPr>
        <w:ind w:left="651" w:hanging="651"/>
        <w:jc w:val="both"/>
        <w:rPr>
          <w:rFonts w:ascii="David" w:hAnsi="David"/>
          <w:b/>
          <w:bCs/>
          <w:sz w:val="26"/>
          <w:szCs w:val="26"/>
          <w:u w:val="single"/>
          <w:rtl/>
        </w:rPr>
      </w:pPr>
    </w:p>
    <w:p w:rsidR="00120007" w:rsidRDefault="003B5BDC" w:rsidP="003B5BDC">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לטענת התובעים הבית ב</w:t>
      </w:r>
      <w:r>
        <w:rPr>
          <w:rFonts w:ascii="David" w:hAnsi="David" w:cs="David"/>
          <w:sz w:val="24"/>
          <w:szCs w:val="24"/>
        </w:rPr>
        <w:t>xxx</w:t>
      </w:r>
      <w:r w:rsidR="00120007">
        <w:rPr>
          <w:rFonts w:ascii="David" w:hAnsi="David" w:cs="David"/>
          <w:sz w:val="24"/>
          <w:szCs w:val="24"/>
          <w:rtl/>
        </w:rPr>
        <w:t xml:space="preserve"> נרכש על ידי המנוחה ובעלה </w:t>
      </w:r>
      <w:r>
        <w:rPr>
          <w:rFonts w:ascii="David" w:hAnsi="David" w:cs="David"/>
          <w:sz w:val="24"/>
          <w:szCs w:val="24"/>
        </w:rPr>
        <w:t>xxxx</w:t>
      </w:r>
      <w:r w:rsidR="00120007">
        <w:rPr>
          <w:rFonts w:ascii="David" w:hAnsi="David" w:cs="David"/>
          <w:sz w:val="24"/>
          <w:szCs w:val="24"/>
          <w:rtl/>
        </w:rPr>
        <w:t xml:space="preserve"> ז"ל (להלן: "</w:t>
      </w:r>
      <w:r w:rsidR="00120007">
        <w:rPr>
          <w:rFonts w:ascii="David" w:hAnsi="David" w:cs="David"/>
          <w:b/>
          <w:bCs/>
          <w:sz w:val="24"/>
          <w:szCs w:val="24"/>
          <w:rtl/>
        </w:rPr>
        <w:t>המנוח</w:t>
      </w:r>
      <w:r w:rsidR="00120007">
        <w:rPr>
          <w:rFonts w:ascii="David" w:hAnsi="David" w:cs="David"/>
          <w:sz w:val="24"/>
          <w:szCs w:val="24"/>
          <w:rtl/>
        </w:rPr>
        <w:t>", וביחד "</w:t>
      </w:r>
      <w:r w:rsidR="00120007">
        <w:rPr>
          <w:rFonts w:ascii="David" w:hAnsi="David" w:cs="David"/>
          <w:b/>
          <w:bCs/>
          <w:sz w:val="24"/>
          <w:szCs w:val="24"/>
          <w:rtl/>
        </w:rPr>
        <w:t>המנוחים</w:t>
      </w:r>
      <w:r w:rsidR="00120007">
        <w:rPr>
          <w:rFonts w:ascii="David" w:hAnsi="David" w:cs="David"/>
          <w:sz w:val="24"/>
          <w:szCs w:val="24"/>
          <w:rtl/>
        </w:rPr>
        <w:t>") כשהוא כולל 33 מ"ר בלבד, בשכו</w:t>
      </w:r>
      <w:r>
        <w:rPr>
          <w:rFonts w:ascii="David" w:hAnsi="David" w:cs="David"/>
          <w:sz w:val="24"/>
          <w:szCs w:val="24"/>
          <w:rtl/>
        </w:rPr>
        <w:t xml:space="preserve">נה שהיתה ממוקמת בשולי העיר </w:t>
      </w:r>
      <w:r>
        <w:rPr>
          <w:rFonts w:ascii="David" w:hAnsi="David" w:cs="David"/>
          <w:sz w:val="24"/>
          <w:szCs w:val="24"/>
        </w:rPr>
        <w:t>xxx</w:t>
      </w:r>
      <w:r w:rsidR="00120007">
        <w:rPr>
          <w:rFonts w:ascii="David" w:hAnsi="David" w:cs="David"/>
          <w:sz w:val="24"/>
          <w:szCs w:val="24"/>
          <w:rtl/>
        </w:rPr>
        <w:t>. המנוחים נרשמו כבעלים משותפים בחלקים שווים, בלשכת רישום המקרקעין.</w:t>
      </w:r>
    </w:p>
    <w:p w:rsidR="00120007" w:rsidRDefault="00120007" w:rsidP="00120007">
      <w:pPr>
        <w:pStyle w:val="ad"/>
        <w:spacing w:line="240" w:lineRule="auto"/>
        <w:ind w:left="651" w:hanging="651"/>
        <w:jc w:val="both"/>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Pr>
      </w:pPr>
      <w:r>
        <w:rPr>
          <w:rFonts w:ascii="David" w:hAnsi="David" w:cs="David"/>
          <w:sz w:val="24"/>
          <w:szCs w:val="24"/>
          <w:rtl/>
        </w:rPr>
        <w:t>לאחר מות המנוח, ולאחר שניתן צו ירושה לע</w:t>
      </w:r>
      <w:r w:rsidR="0029113D">
        <w:rPr>
          <w:rFonts w:ascii="David" w:hAnsi="David" w:cs="David" w:hint="cs"/>
          <w:sz w:val="24"/>
          <w:szCs w:val="24"/>
          <w:rtl/>
        </w:rPr>
        <w:t>י</w:t>
      </w:r>
      <w:r w:rsidR="003B5BDC">
        <w:rPr>
          <w:rFonts w:ascii="David" w:hAnsi="David" w:cs="David"/>
          <w:sz w:val="24"/>
          <w:szCs w:val="24"/>
          <w:rtl/>
        </w:rPr>
        <w:t>זבונו, הזכויות בבית ב</w:t>
      </w:r>
      <w:r w:rsidR="003B5BDC">
        <w:rPr>
          <w:rFonts w:ascii="David" w:hAnsi="David" w:cs="David"/>
          <w:sz w:val="24"/>
          <w:szCs w:val="24"/>
        </w:rPr>
        <w:t>xxx</w:t>
      </w:r>
      <w:r>
        <w:rPr>
          <w:rFonts w:ascii="David" w:hAnsi="David" w:cs="David"/>
          <w:sz w:val="24"/>
          <w:szCs w:val="24"/>
          <w:rtl/>
        </w:rPr>
        <w:t xml:space="preserve"> חולקו כך:</w:t>
      </w:r>
    </w:p>
    <w:p w:rsidR="00120007" w:rsidRDefault="00120007" w:rsidP="001D380E">
      <w:pPr>
        <w:pStyle w:val="ad"/>
        <w:spacing w:line="360" w:lineRule="auto"/>
        <w:ind w:left="567" w:firstLine="142"/>
        <w:jc w:val="both"/>
        <w:rPr>
          <w:rFonts w:ascii="David" w:hAnsi="David" w:cs="David"/>
          <w:sz w:val="24"/>
          <w:szCs w:val="24"/>
        </w:rPr>
      </w:pPr>
      <w:r>
        <w:rPr>
          <w:rFonts w:ascii="David" w:hAnsi="David" w:cs="David"/>
          <w:sz w:val="24"/>
          <w:szCs w:val="24"/>
          <w:rtl/>
        </w:rPr>
        <w:t>המנוחה – 6/10</w:t>
      </w:r>
    </w:p>
    <w:p w:rsidR="00120007" w:rsidRDefault="00120007" w:rsidP="001D380E">
      <w:pPr>
        <w:pStyle w:val="ad"/>
        <w:spacing w:line="360" w:lineRule="auto"/>
        <w:ind w:left="567" w:firstLine="142"/>
        <w:jc w:val="both"/>
        <w:rPr>
          <w:rFonts w:ascii="David" w:hAnsi="David" w:cs="David"/>
          <w:sz w:val="24"/>
          <w:szCs w:val="24"/>
          <w:rtl/>
        </w:rPr>
      </w:pPr>
      <w:r>
        <w:rPr>
          <w:rFonts w:ascii="David" w:hAnsi="David" w:cs="David"/>
          <w:sz w:val="24"/>
          <w:szCs w:val="24"/>
          <w:rtl/>
        </w:rPr>
        <w:t xml:space="preserve">התובע -  1/10 </w:t>
      </w:r>
    </w:p>
    <w:p w:rsidR="00120007" w:rsidRDefault="00120007" w:rsidP="001D380E">
      <w:pPr>
        <w:pStyle w:val="ad"/>
        <w:spacing w:line="360" w:lineRule="auto"/>
        <w:ind w:left="567" w:firstLine="142"/>
        <w:jc w:val="both"/>
        <w:rPr>
          <w:rFonts w:ascii="David" w:hAnsi="David" w:cs="David"/>
          <w:sz w:val="24"/>
          <w:szCs w:val="24"/>
          <w:rtl/>
        </w:rPr>
      </w:pPr>
      <w:r>
        <w:rPr>
          <w:rFonts w:ascii="David" w:hAnsi="David" w:cs="David"/>
          <w:sz w:val="24"/>
          <w:szCs w:val="24"/>
          <w:rtl/>
        </w:rPr>
        <w:t xml:space="preserve">הנתבעים 1-4 כל אחד – 1/10 </w:t>
      </w:r>
    </w:p>
    <w:p w:rsidR="00120007" w:rsidRDefault="00120007" w:rsidP="00120007">
      <w:pPr>
        <w:pStyle w:val="ad"/>
        <w:spacing w:line="240" w:lineRule="auto"/>
        <w:ind w:left="651" w:hanging="651"/>
        <w:jc w:val="both"/>
        <w:rPr>
          <w:rFonts w:ascii="David" w:hAnsi="David" w:cs="David"/>
          <w:sz w:val="24"/>
          <w:szCs w:val="24"/>
          <w:rtl/>
        </w:rPr>
      </w:pPr>
    </w:p>
    <w:p w:rsidR="00120007" w:rsidRDefault="00120007" w:rsidP="00EE0F14">
      <w:pPr>
        <w:pStyle w:val="ad"/>
        <w:numPr>
          <w:ilvl w:val="0"/>
          <w:numId w:val="1"/>
        </w:numPr>
        <w:spacing w:line="360" w:lineRule="auto"/>
        <w:ind w:left="651" w:hanging="651"/>
        <w:jc w:val="both"/>
        <w:rPr>
          <w:rFonts w:ascii="David" w:hAnsi="David" w:cs="David"/>
          <w:sz w:val="24"/>
          <w:szCs w:val="24"/>
        </w:rPr>
      </w:pPr>
      <w:r>
        <w:rPr>
          <w:rFonts w:ascii="David" w:hAnsi="David" w:cs="David"/>
          <w:sz w:val="24"/>
          <w:szCs w:val="24"/>
          <w:rtl/>
        </w:rPr>
        <w:t>לטענת ה</w:t>
      </w:r>
      <w:r w:rsidR="00EE0F14">
        <w:rPr>
          <w:rFonts w:ascii="David" w:hAnsi="David" w:cs="David"/>
          <w:sz w:val="24"/>
          <w:szCs w:val="24"/>
          <w:rtl/>
        </w:rPr>
        <w:t>תובעים זכויות המנוחה בבית ב</w:t>
      </w:r>
      <w:r w:rsidR="00EE0F14">
        <w:rPr>
          <w:rFonts w:ascii="David" w:hAnsi="David" w:cs="David"/>
          <w:sz w:val="24"/>
          <w:szCs w:val="24"/>
        </w:rPr>
        <w:t>xxx</w:t>
      </w:r>
      <w:r>
        <w:rPr>
          <w:rFonts w:ascii="David" w:hAnsi="David" w:cs="David"/>
          <w:sz w:val="24"/>
          <w:szCs w:val="24"/>
          <w:rtl/>
        </w:rPr>
        <w:t>, הועברו אליהם במסגרת עסקת חליפין שבוצעה במהלך 5/1994 (להלן: "</w:t>
      </w:r>
      <w:r>
        <w:rPr>
          <w:rFonts w:ascii="David" w:hAnsi="David" w:cs="David"/>
          <w:b/>
          <w:bCs/>
          <w:sz w:val="24"/>
          <w:szCs w:val="24"/>
          <w:rtl/>
        </w:rPr>
        <w:t>עסקת החליפין</w:t>
      </w:r>
      <w:r>
        <w:rPr>
          <w:rFonts w:ascii="David" w:hAnsi="David" w:cs="David"/>
          <w:sz w:val="24"/>
          <w:szCs w:val="24"/>
          <w:rtl/>
        </w:rPr>
        <w:t>") לפיה המנוח</w:t>
      </w:r>
      <w:r w:rsidR="00EE0F14">
        <w:rPr>
          <w:rFonts w:ascii="David" w:hAnsi="David" w:cs="David"/>
          <w:sz w:val="24"/>
          <w:szCs w:val="24"/>
          <w:rtl/>
        </w:rPr>
        <w:t>ה העבירה את זכויותיה בבית ב</w:t>
      </w:r>
      <w:r w:rsidR="00EE0F14">
        <w:rPr>
          <w:rFonts w:ascii="David" w:hAnsi="David" w:cs="David"/>
          <w:sz w:val="24"/>
          <w:szCs w:val="24"/>
        </w:rPr>
        <w:t>xxx</w:t>
      </w:r>
      <w:r>
        <w:rPr>
          <w:rFonts w:ascii="David" w:hAnsi="David" w:cs="David"/>
          <w:sz w:val="24"/>
          <w:szCs w:val="24"/>
          <w:rtl/>
        </w:rPr>
        <w:t xml:space="preserve"> אליהם ובתמורה העבירו לה התובעים את זכויותיהם בדירה שרכשו</w:t>
      </w:r>
      <w:r w:rsidR="00EE0F14">
        <w:rPr>
          <w:rFonts w:ascii="David" w:hAnsi="David" w:cs="David"/>
          <w:sz w:val="24"/>
          <w:szCs w:val="24"/>
          <w:rtl/>
        </w:rPr>
        <w:t xml:space="preserve"> עבורה, אך נרשמה בבעלותם, ברחוב</w:t>
      </w:r>
      <w:r w:rsidR="00EE0F14">
        <w:rPr>
          <w:rFonts w:ascii="David" w:hAnsi="David" w:cs="David" w:hint="cs"/>
          <w:sz w:val="24"/>
          <w:szCs w:val="24"/>
          <w:rtl/>
        </w:rPr>
        <w:t xml:space="preserve"> </w:t>
      </w:r>
      <w:r w:rsidR="00EE0F14">
        <w:rPr>
          <w:rFonts w:ascii="David" w:hAnsi="David" w:cs="David"/>
          <w:sz w:val="24"/>
          <w:szCs w:val="24"/>
        </w:rPr>
        <w:t xml:space="preserve">xxx </w:t>
      </w:r>
      <w:r w:rsidR="00EE0F14">
        <w:rPr>
          <w:rFonts w:ascii="David" w:hAnsi="David" w:cs="David" w:hint="cs"/>
          <w:sz w:val="24"/>
          <w:szCs w:val="24"/>
          <w:rtl/>
        </w:rPr>
        <w:t xml:space="preserve"> ב</w:t>
      </w:r>
      <w:r w:rsidR="00EE0F14">
        <w:rPr>
          <w:rFonts w:ascii="David" w:hAnsi="David" w:cs="David"/>
          <w:sz w:val="24"/>
          <w:szCs w:val="24"/>
        </w:rPr>
        <w:t>xxx</w:t>
      </w:r>
      <w:r w:rsidR="00EE0F14">
        <w:rPr>
          <w:rFonts w:ascii="David" w:hAnsi="David" w:cs="David" w:hint="cs"/>
          <w:sz w:val="24"/>
          <w:szCs w:val="24"/>
          <w:rtl/>
        </w:rPr>
        <w:t xml:space="preserve"> </w:t>
      </w:r>
      <w:r>
        <w:rPr>
          <w:rFonts w:ascii="David" w:hAnsi="David" w:cs="David"/>
          <w:sz w:val="24"/>
          <w:szCs w:val="24"/>
          <w:rtl/>
        </w:rPr>
        <w:t>(להלן: "</w:t>
      </w:r>
      <w:r w:rsidR="00EE0F14">
        <w:rPr>
          <w:rFonts w:ascii="David" w:hAnsi="David" w:cs="David"/>
          <w:b/>
          <w:bCs/>
          <w:sz w:val="24"/>
          <w:szCs w:val="24"/>
          <w:rtl/>
        </w:rPr>
        <w:t>הדירה ב</w:t>
      </w:r>
      <w:r w:rsidR="00EE0F14">
        <w:rPr>
          <w:rFonts w:ascii="David" w:hAnsi="David" w:cs="David"/>
          <w:b/>
          <w:bCs/>
          <w:sz w:val="24"/>
          <w:szCs w:val="24"/>
        </w:rPr>
        <w:t>xxx</w:t>
      </w:r>
      <w:r>
        <w:rPr>
          <w:rFonts w:ascii="David" w:hAnsi="David" w:cs="David"/>
          <w:sz w:val="24"/>
          <w:szCs w:val="24"/>
          <w:rtl/>
        </w:rPr>
        <w:t>").</w:t>
      </w:r>
    </w:p>
    <w:p w:rsidR="00120007" w:rsidRDefault="00120007" w:rsidP="00120007">
      <w:pPr>
        <w:pStyle w:val="ad"/>
        <w:spacing w:line="240" w:lineRule="auto"/>
        <w:ind w:left="651" w:hanging="651"/>
        <w:jc w:val="both"/>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Pr>
      </w:pPr>
      <w:r>
        <w:rPr>
          <w:rFonts w:ascii="David" w:hAnsi="David" w:cs="David"/>
          <w:sz w:val="24"/>
          <w:szCs w:val="24"/>
          <w:rtl/>
        </w:rPr>
        <w:t>לטענת התובעים בסמוך לאחר פטירת המנוח, סביב שנת 1973, עשתה המנוחה שימוש בכספי הפיצויים שקיבלה עקב מות המנ</w:t>
      </w:r>
      <w:r w:rsidR="00EE0F14">
        <w:rPr>
          <w:rFonts w:ascii="David" w:hAnsi="David" w:cs="David"/>
          <w:sz w:val="24"/>
          <w:szCs w:val="24"/>
          <w:rtl/>
        </w:rPr>
        <w:t>וח, על מנת להרחיב את הבית ב</w:t>
      </w:r>
      <w:r w:rsidR="00EE0F14">
        <w:rPr>
          <w:rFonts w:ascii="David" w:hAnsi="David" w:cs="David"/>
          <w:sz w:val="24"/>
          <w:szCs w:val="24"/>
        </w:rPr>
        <w:t>xxx</w:t>
      </w:r>
      <w:r>
        <w:rPr>
          <w:rFonts w:ascii="David" w:hAnsi="David" w:cs="David"/>
          <w:sz w:val="24"/>
          <w:szCs w:val="24"/>
          <w:rtl/>
        </w:rPr>
        <w:t>, מ - 33 מ"ר ל- 86 מ"ר. לתמיכת טענה זו מפנים התובעים לתשריט מודד – מוצג 18 לחוות דעת השמאי. התובעים טוענים כי אין מחלוקת שמאז שנת 1977 ואילך, לא בוצעו פעולות בנייה נ</w:t>
      </w:r>
      <w:r w:rsidR="00EE0F14">
        <w:rPr>
          <w:rFonts w:ascii="David" w:hAnsi="David" w:cs="David"/>
          <w:sz w:val="24"/>
          <w:szCs w:val="24"/>
          <w:rtl/>
        </w:rPr>
        <w:t>וספות ו/או הרחבות של הבית ב</w:t>
      </w:r>
      <w:r w:rsidR="00EE0F14">
        <w:rPr>
          <w:rFonts w:ascii="David" w:hAnsi="David" w:cs="David"/>
          <w:sz w:val="24"/>
          <w:szCs w:val="24"/>
        </w:rPr>
        <w:t>xxx</w:t>
      </w:r>
      <w:r>
        <w:rPr>
          <w:rFonts w:ascii="David" w:hAnsi="David" w:cs="David"/>
          <w:sz w:val="24"/>
          <w:szCs w:val="24"/>
          <w:rtl/>
        </w:rPr>
        <w:t xml:space="preserve"> על ידי המנוחה, כך שלכל היותר, עת בוצ</w:t>
      </w:r>
      <w:r w:rsidR="00EE0F14">
        <w:rPr>
          <w:rFonts w:ascii="David" w:hAnsi="David" w:cs="David"/>
          <w:sz w:val="24"/>
          <w:szCs w:val="24"/>
          <w:rtl/>
        </w:rPr>
        <w:t>עה עסקת החליפין, שטח הבית ב</w:t>
      </w:r>
      <w:r w:rsidR="00EE0F14">
        <w:rPr>
          <w:rFonts w:ascii="David" w:hAnsi="David" w:cs="David"/>
          <w:sz w:val="24"/>
          <w:szCs w:val="24"/>
        </w:rPr>
        <w:t>xxx</w:t>
      </w:r>
      <w:r>
        <w:rPr>
          <w:rFonts w:ascii="David" w:hAnsi="David" w:cs="David"/>
          <w:sz w:val="24"/>
          <w:szCs w:val="24"/>
          <w:rtl/>
        </w:rPr>
        <w:t xml:space="preserve"> עמד על 86 מ"ר.</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עוד ט</w:t>
      </w:r>
      <w:r w:rsidR="00EE0F14">
        <w:rPr>
          <w:rFonts w:ascii="David" w:hAnsi="David" w:cs="David"/>
          <w:sz w:val="24"/>
          <w:szCs w:val="24"/>
          <w:rtl/>
        </w:rPr>
        <w:t>וענים התובעים, מששטח הבית ב</w:t>
      </w:r>
      <w:r w:rsidR="00EE0F14">
        <w:rPr>
          <w:rFonts w:ascii="David" w:hAnsi="David" w:cs="David"/>
          <w:sz w:val="24"/>
          <w:szCs w:val="24"/>
        </w:rPr>
        <w:t>xxx</w:t>
      </w:r>
      <w:r>
        <w:rPr>
          <w:rFonts w:ascii="David" w:hAnsi="David" w:cs="David"/>
          <w:sz w:val="24"/>
          <w:szCs w:val="24"/>
          <w:rtl/>
        </w:rPr>
        <w:t xml:space="preserve"> היום הינו כ- 132 מ"ר, שטח </w:t>
      </w:r>
      <w:r w:rsidR="00EE0F14">
        <w:rPr>
          <w:rFonts w:ascii="David" w:hAnsi="David" w:cs="David"/>
          <w:sz w:val="24"/>
          <w:szCs w:val="24"/>
          <w:rtl/>
        </w:rPr>
        <w:t>הגדול ב- 46 מ"ר משטח הבית ב</w:t>
      </w:r>
      <w:r w:rsidR="00EE0F14">
        <w:rPr>
          <w:rFonts w:ascii="David" w:hAnsi="David" w:cs="David"/>
          <w:sz w:val="24"/>
          <w:szCs w:val="24"/>
        </w:rPr>
        <w:t>xxx</w:t>
      </w:r>
      <w:r>
        <w:rPr>
          <w:rFonts w:ascii="David" w:hAnsi="David" w:cs="David"/>
          <w:sz w:val="24"/>
          <w:szCs w:val="24"/>
          <w:rtl/>
        </w:rPr>
        <w:t xml:space="preserve"> מאז ביצעה בו המנוחה הרחבה, לא יכולה להיות מחלוקת כי ההרחבה נעשתה על ידם, ש</w:t>
      </w:r>
      <w:r w:rsidR="00EE0F14">
        <w:rPr>
          <w:rFonts w:ascii="David" w:hAnsi="David" w:cs="David"/>
          <w:sz w:val="24"/>
          <w:szCs w:val="24"/>
          <w:rtl/>
        </w:rPr>
        <w:t>הם אלה אשר מתגוררים בבית ב</w:t>
      </w:r>
      <w:r w:rsidR="00EE0F14">
        <w:rPr>
          <w:rFonts w:ascii="David" w:hAnsi="David" w:cs="David"/>
          <w:sz w:val="24"/>
          <w:szCs w:val="24"/>
        </w:rPr>
        <w:t>xxx</w:t>
      </w:r>
      <w:r>
        <w:rPr>
          <w:rFonts w:ascii="David" w:hAnsi="David" w:cs="David"/>
          <w:sz w:val="24"/>
          <w:szCs w:val="24"/>
          <w:rtl/>
        </w:rPr>
        <w:t>, מאז עסקת החליפין, קרי מאז שנת 1994.</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lastRenderedPageBreak/>
        <w:t>לטענת התובעים אין מחלוקת בין הצדדים כי המנוחה ביקשה למכור את הבית ב</w:t>
      </w:r>
      <w:r w:rsidR="00EE0F14">
        <w:rPr>
          <w:rFonts w:ascii="David" w:hAnsi="David" w:cs="David"/>
          <w:sz w:val="24"/>
          <w:szCs w:val="24"/>
        </w:rPr>
        <w:t>xxx</w:t>
      </w:r>
      <w:r>
        <w:rPr>
          <w:rFonts w:ascii="David" w:hAnsi="David" w:cs="David"/>
          <w:sz w:val="24"/>
          <w:szCs w:val="24"/>
          <w:rtl/>
        </w:rPr>
        <w:t xml:space="preserve"> ולעבור להתגורר בדירה במרכז העיר </w:t>
      </w:r>
      <w:r w:rsidR="00EE0F14">
        <w:rPr>
          <w:rFonts w:ascii="David" w:hAnsi="David" w:cs="David"/>
          <w:sz w:val="24"/>
          <w:szCs w:val="24"/>
        </w:rPr>
        <w:t>xxx</w:t>
      </w:r>
      <w:r>
        <w:rPr>
          <w:rFonts w:ascii="David" w:hAnsi="David" w:cs="David"/>
          <w:sz w:val="24"/>
          <w:szCs w:val="24"/>
          <w:rtl/>
        </w:rPr>
        <w:t>, עקב קושי להתגורר בגפה בבית המרוחק מרחק רב ממרכז העיר.</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המנוחה ניסתה למכור את הבית ב</w:t>
      </w:r>
      <w:r w:rsidR="00EE0F14">
        <w:rPr>
          <w:rFonts w:ascii="David" w:hAnsi="David" w:cs="David"/>
          <w:sz w:val="24"/>
          <w:szCs w:val="24"/>
        </w:rPr>
        <w:t>xxx</w:t>
      </w:r>
      <w:r>
        <w:rPr>
          <w:rFonts w:ascii="David" w:hAnsi="David" w:cs="David"/>
          <w:sz w:val="24"/>
          <w:szCs w:val="24"/>
          <w:rtl/>
        </w:rPr>
        <w:t xml:space="preserve"> ללא הצלחה, לאור מצבו הפיזי הרעוע של הבית. אולם גם לאחר שנמצא רוכש פוטנציאלי לרכישת הבית, סירבה המנוחה למכור לו את הבית ב</w:t>
      </w:r>
      <w:r w:rsidR="00EE0F14">
        <w:rPr>
          <w:rFonts w:ascii="David" w:hAnsi="David" w:cs="David"/>
          <w:sz w:val="24"/>
          <w:szCs w:val="24"/>
        </w:rPr>
        <w:t>xxx</w:t>
      </w:r>
      <w:r>
        <w:rPr>
          <w:rFonts w:ascii="David" w:hAnsi="David" w:cs="David"/>
          <w:sz w:val="24"/>
          <w:szCs w:val="24"/>
          <w:rtl/>
        </w:rPr>
        <w:t>, בשל העובדה, כך לטענת התובעים, שהרוכש הפוטנציאלי סרב להותיר את הסככה ששימשה את התובעים כבית מלאכה. המנוחה ביקשה לשמור על פרנסתם של התובעים ועל כן הרכישה הפוטנציאלית לא בוצעה.</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משלא הצליחה כאמור המנוחה למכור את הבית ב</w:t>
      </w:r>
      <w:r w:rsidR="00EE0F14">
        <w:rPr>
          <w:rFonts w:ascii="David" w:hAnsi="David" w:cs="David"/>
          <w:sz w:val="24"/>
          <w:szCs w:val="24"/>
        </w:rPr>
        <w:t>xxx</w:t>
      </w:r>
      <w:r>
        <w:rPr>
          <w:rFonts w:ascii="David" w:hAnsi="David" w:cs="David"/>
          <w:sz w:val="24"/>
          <w:szCs w:val="24"/>
          <w:rtl/>
        </w:rPr>
        <w:t xml:space="preserve"> נרקמה עסקת החליפין בין התובעים למנוחה, והכל על מנת להיחלץ לעזרתה של המנוחה ולסייע לה לממש את רצונה. לטענת התובעים הם התחייבו לרכוש עבור המנוחה דירה המתאימה לצרכיה במרכז העיר ובמקומה הם יקבלו את הבית ב</w:t>
      </w:r>
      <w:r w:rsidR="00EE0F14">
        <w:rPr>
          <w:rFonts w:ascii="David" w:hAnsi="David" w:cs="David"/>
          <w:sz w:val="24"/>
          <w:szCs w:val="24"/>
        </w:rPr>
        <w:t>xxx</w:t>
      </w:r>
      <w:r>
        <w:rPr>
          <w:rFonts w:ascii="David" w:hAnsi="David" w:cs="David"/>
          <w:sz w:val="24"/>
          <w:szCs w:val="24"/>
          <w:rtl/>
        </w:rPr>
        <w:t xml:space="preserve">. </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ואכן, ביום 4.4.1994 התקשרו התובעי</w:t>
      </w:r>
      <w:r w:rsidR="00EE0F14">
        <w:rPr>
          <w:rFonts w:ascii="David" w:hAnsi="David" w:cs="David"/>
          <w:sz w:val="24"/>
          <w:szCs w:val="24"/>
          <w:rtl/>
        </w:rPr>
        <w:t>ם בעסקת מכר למכירת דירתם ב</w:t>
      </w:r>
      <w:r w:rsidR="00EE0F14">
        <w:rPr>
          <w:rFonts w:ascii="David" w:hAnsi="David" w:cs="David"/>
          <w:sz w:val="24"/>
          <w:szCs w:val="24"/>
        </w:rPr>
        <w:t>xxx</w:t>
      </w:r>
      <w:r>
        <w:rPr>
          <w:rFonts w:ascii="David" w:hAnsi="David" w:cs="David"/>
          <w:sz w:val="24"/>
          <w:szCs w:val="24"/>
          <w:rtl/>
        </w:rPr>
        <w:t>, וביום 18.5.94 התקשרו בהסכם לרכישת הדירה ב</w:t>
      </w:r>
      <w:r w:rsidR="00EE0F14">
        <w:rPr>
          <w:rFonts w:ascii="David" w:hAnsi="David" w:cs="David"/>
          <w:sz w:val="24"/>
          <w:szCs w:val="24"/>
        </w:rPr>
        <w:t>xxx</w:t>
      </w:r>
      <w:r>
        <w:rPr>
          <w:rFonts w:ascii="David" w:hAnsi="David" w:cs="David"/>
          <w:sz w:val="24"/>
          <w:szCs w:val="24"/>
          <w:rtl/>
        </w:rPr>
        <w:t xml:space="preserve"> - דירה בת 3 חדרים, מרווחת, בקומה שניה של בנין חדש יחסית עם מעלית, שהיתה במרחק קצר ממקום עבודתה של המנוחה, מהשוק מקופת החולים וממרכז העיר. </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התובעים מכרו את דירתם ב</w:t>
      </w:r>
      <w:r w:rsidR="00EE0F14">
        <w:rPr>
          <w:rFonts w:ascii="David" w:hAnsi="David" w:cs="David"/>
          <w:sz w:val="24"/>
          <w:szCs w:val="24"/>
        </w:rPr>
        <w:t>xxx</w:t>
      </w:r>
      <w:r>
        <w:rPr>
          <w:rFonts w:ascii="David" w:hAnsi="David" w:cs="David"/>
          <w:sz w:val="24"/>
          <w:szCs w:val="24"/>
          <w:rtl/>
        </w:rPr>
        <w:t xml:space="preserve"> בסך של 75,000$ ורכשו את הדירה ב</w:t>
      </w:r>
      <w:r w:rsidR="00EE0F14">
        <w:rPr>
          <w:rFonts w:ascii="David" w:hAnsi="David" w:cs="David"/>
          <w:sz w:val="24"/>
          <w:szCs w:val="24"/>
        </w:rPr>
        <w:t>xxx</w:t>
      </w:r>
      <w:r>
        <w:rPr>
          <w:rFonts w:ascii="David" w:hAnsi="David" w:cs="David"/>
          <w:sz w:val="24"/>
          <w:szCs w:val="24"/>
          <w:rtl/>
        </w:rPr>
        <w:t xml:space="preserve"> בסך של 116,000$. כדי לממן את הפער בין תמורת המכר לעלות רכישת הדירה ב</w:t>
      </w:r>
      <w:r w:rsidR="00EE0F14">
        <w:rPr>
          <w:rFonts w:ascii="David" w:hAnsi="David" w:cs="David"/>
          <w:sz w:val="24"/>
          <w:szCs w:val="24"/>
        </w:rPr>
        <w:t>xxx</w:t>
      </w:r>
      <w:r>
        <w:rPr>
          <w:rFonts w:ascii="David" w:hAnsi="David" w:cs="David"/>
          <w:sz w:val="24"/>
          <w:szCs w:val="24"/>
          <w:rtl/>
        </w:rPr>
        <w:t>, נטלו התובעים משכנתא בסך של 40,000 ₪. על מנת להמחיש כי כלל הנתבעים ידעו על ההלוואה ועל כך שהדירה ב</w:t>
      </w:r>
      <w:r w:rsidR="00EE0F14">
        <w:rPr>
          <w:rFonts w:ascii="David" w:hAnsi="David" w:cs="David"/>
          <w:sz w:val="24"/>
          <w:szCs w:val="24"/>
        </w:rPr>
        <w:t>xxx</w:t>
      </w:r>
      <w:r>
        <w:rPr>
          <w:rFonts w:ascii="David" w:hAnsi="David" w:cs="David"/>
          <w:sz w:val="24"/>
          <w:szCs w:val="24"/>
          <w:rtl/>
        </w:rPr>
        <w:t xml:space="preserve"> נרכשה עבור המנוחה, מפנים התובעים להסכם הלוואת המשכנתא עליו חתומים כערבים המנוחה ובעלה של הנתבעת 2.</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עוד טוענים התובעים כי סמיכות המועדים בין מכירת דירתם ב</w:t>
      </w:r>
      <w:r w:rsidR="00EE0F14">
        <w:rPr>
          <w:rFonts w:ascii="David" w:hAnsi="David" w:cs="David"/>
          <w:sz w:val="24"/>
          <w:szCs w:val="24"/>
        </w:rPr>
        <w:t>xxx</w:t>
      </w:r>
      <w:r>
        <w:rPr>
          <w:rFonts w:ascii="David" w:hAnsi="David" w:cs="David"/>
          <w:sz w:val="24"/>
          <w:szCs w:val="24"/>
          <w:rtl/>
        </w:rPr>
        <w:t xml:space="preserve"> לבין רכישת הדירה ב</w:t>
      </w:r>
      <w:r w:rsidR="00EE0F14">
        <w:rPr>
          <w:rFonts w:ascii="David" w:hAnsi="David" w:cs="David"/>
          <w:sz w:val="24"/>
          <w:szCs w:val="24"/>
        </w:rPr>
        <w:t>xxx</w:t>
      </w:r>
      <w:r>
        <w:rPr>
          <w:rFonts w:ascii="David" w:hAnsi="David" w:cs="David"/>
          <w:sz w:val="24"/>
          <w:szCs w:val="24"/>
          <w:rtl/>
        </w:rPr>
        <w:t xml:space="preserve"> ממחישה את העובדה כי הדירה ב</w:t>
      </w:r>
      <w:r w:rsidR="00EE0F14">
        <w:rPr>
          <w:rFonts w:ascii="David" w:hAnsi="David" w:cs="David"/>
          <w:sz w:val="24"/>
          <w:szCs w:val="24"/>
        </w:rPr>
        <w:t>xxx</w:t>
      </w:r>
      <w:r>
        <w:rPr>
          <w:rFonts w:ascii="David" w:hAnsi="David" w:cs="David"/>
          <w:sz w:val="24"/>
          <w:szCs w:val="24"/>
          <w:rtl/>
        </w:rPr>
        <w:t xml:space="preserve"> נרכשה במיוחד עבור המנוחה ונועדה לה באופן בלעדי.</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משהושלמה רכישת הדירה ב</w:t>
      </w:r>
      <w:r w:rsidR="00EE0F14">
        <w:rPr>
          <w:rFonts w:ascii="David" w:hAnsi="David" w:cs="David"/>
          <w:sz w:val="24"/>
          <w:szCs w:val="24"/>
        </w:rPr>
        <w:t>xxx</w:t>
      </w:r>
      <w:r>
        <w:rPr>
          <w:rFonts w:ascii="David" w:hAnsi="David" w:cs="David"/>
          <w:sz w:val="24"/>
          <w:szCs w:val="24"/>
          <w:rtl/>
        </w:rPr>
        <w:t xml:space="preserve"> על ידי התובעים ומיד עם קבלת החזקה בה, בהתאם להסכם המכר, עברה המנוחה להתגורר בה וזאת עד ליום מותה, קרי המנוחה התגוררה בדירה ב</w:t>
      </w:r>
      <w:r w:rsidR="00EE0F14">
        <w:rPr>
          <w:rFonts w:ascii="David" w:hAnsi="David" w:cs="David"/>
          <w:sz w:val="24"/>
          <w:szCs w:val="24"/>
        </w:rPr>
        <w:t>xxx</w:t>
      </w:r>
      <w:r>
        <w:rPr>
          <w:rFonts w:ascii="David" w:hAnsi="David" w:cs="David"/>
          <w:sz w:val="24"/>
          <w:szCs w:val="24"/>
          <w:rtl/>
        </w:rPr>
        <w:t xml:space="preserve"> במשך כ- 23 שנים (1.12.94-26.1.2018).</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התובעים טוענים כי בשל מצבו הרעוע והמוזנח של הבית ב</w:t>
      </w:r>
      <w:r w:rsidR="00EE0F14">
        <w:rPr>
          <w:rFonts w:ascii="David" w:hAnsi="David" w:cs="David"/>
          <w:sz w:val="24"/>
          <w:szCs w:val="24"/>
        </w:rPr>
        <w:t>xxx</w:t>
      </w:r>
      <w:r>
        <w:rPr>
          <w:rFonts w:ascii="David" w:hAnsi="David" w:cs="David"/>
          <w:sz w:val="24"/>
          <w:szCs w:val="24"/>
          <w:rtl/>
        </w:rPr>
        <w:t>, מיד עם כניסתם, הם החלו לבצע בו שיפוצים משמעותיים, בין היתר הרחיבו את הבית ב</w:t>
      </w:r>
      <w:r w:rsidR="00EE0F14">
        <w:rPr>
          <w:rFonts w:ascii="David" w:hAnsi="David" w:cs="David"/>
          <w:sz w:val="24"/>
          <w:szCs w:val="24"/>
        </w:rPr>
        <w:t>xxx</w:t>
      </w:r>
      <w:r>
        <w:rPr>
          <w:rFonts w:ascii="David" w:hAnsi="David" w:cs="David"/>
          <w:sz w:val="24"/>
          <w:szCs w:val="24"/>
          <w:rtl/>
        </w:rPr>
        <w:t xml:space="preserve"> משטח של 86 מ"ר לשטח גדול יותר של 132 מ"ר. עוד מוסיפים התובעים כי בשל גילו של הבית ב</w:t>
      </w:r>
      <w:r w:rsidR="00EE0F14">
        <w:rPr>
          <w:rFonts w:ascii="David" w:hAnsi="David" w:cs="David"/>
          <w:sz w:val="24"/>
          <w:szCs w:val="24"/>
        </w:rPr>
        <w:t>xxx</w:t>
      </w:r>
      <w:r>
        <w:rPr>
          <w:rFonts w:ascii="David" w:hAnsi="David" w:cs="David"/>
          <w:sz w:val="24"/>
          <w:szCs w:val="24"/>
          <w:rtl/>
        </w:rPr>
        <w:t xml:space="preserve">, נאלצו הם להחליף </w:t>
      </w:r>
      <w:r>
        <w:rPr>
          <w:rFonts w:ascii="David" w:hAnsi="David" w:cs="David"/>
          <w:sz w:val="24"/>
          <w:szCs w:val="24"/>
          <w:rtl/>
        </w:rPr>
        <w:lastRenderedPageBreak/>
        <w:t>את כלל הצנרת, תשתיות המים והחשמל, החלפת גג הרעפים הישן בגג חדש, החלפת ריצוף ועוד השקעות רבות במהלך השנים, לרבות השקעת כספים בבניית גדר היקפית לצורך תיחום החצר ועבודות פיתוח נוספות.</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לא זו אף זו, במהלך שנות מגורי התובעים בבית ב</w:t>
      </w:r>
      <w:r w:rsidR="00EE0F14">
        <w:rPr>
          <w:rFonts w:ascii="David" w:hAnsi="David" w:cs="David"/>
          <w:sz w:val="24"/>
          <w:szCs w:val="24"/>
        </w:rPr>
        <w:t>xxx</w:t>
      </w:r>
      <w:r>
        <w:rPr>
          <w:rFonts w:ascii="David" w:hAnsi="David" w:cs="David"/>
          <w:sz w:val="24"/>
          <w:szCs w:val="24"/>
          <w:rtl/>
        </w:rPr>
        <w:t>, והרחבת משפחתם, הוסיפו, הם וילדיהם, הרחבות בנייה לצורך התאמת הבית לצורכי מגורי כל המשפחה ובכלל זה בנו 2 יחידות דיור נוספות, באחת מהן התגוררו בנם של התובעים ורעייתו ובשניה מתגורר בנם הנכה.</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 xml:space="preserve">לשיטת התובעים יש לקבל את קביעת השמאי </w:t>
      </w:r>
      <w:r w:rsidR="000112F8">
        <w:rPr>
          <w:rFonts w:ascii="David" w:hAnsi="David" w:cs="David" w:hint="cs"/>
          <w:sz w:val="24"/>
          <w:szCs w:val="24"/>
          <w:rtl/>
        </w:rPr>
        <w:t xml:space="preserve">(לפי חוו"ד שהוגשה מטעמם) </w:t>
      </w:r>
      <w:r>
        <w:rPr>
          <w:rFonts w:ascii="David" w:hAnsi="David" w:cs="David"/>
          <w:sz w:val="24"/>
          <w:szCs w:val="24"/>
          <w:rtl/>
        </w:rPr>
        <w:t>לגבי שווי השקעות התובעים בהרחבת הבית ב</w:t>
      </w:r>
      <w:r w:rsidR="00EE0F14">
        <w:rPr>
          <w:rFonts w:ascii="David" w:hAnsi="David" w:cs="David"/>
          <w:sz w:val="24"/>
          <w:szCs w:val="24"/>
        </w:rPr>
        <w:t>xxx</w:t>
      </w:r>
      <w:r>
        <w:rPr>
          <w:rFonts w:ascii="David" w:hAnsi="David" w:cs="David"/>
          <w:sz w:val="24"/>
          <w:szCs w:val="24"/>
          <w:rtl/>
        </w:rPr>
        <w:t xml:space="preserve"> בסך של 1,055,000 ₪, נכון למועד עריכת השמאות, וכן יש לקבל את קביעת השמאי בנוגע להשקעות הנוספות של התובעים</w:t>
      </w:r>
      <w:r w:rsidR="000112F8">
        <w:rPr>
          <w:rFonts w:ascii="David" w:hAnsi="David" w:cs="David" w:hint="cs"/>
          <w:sz w:val="24"/>
          <w:szCs w:val="24"/>
          <w:rtl/>
        </w:rPr>
        <w:t>,</w:t>
      </w:r>
      <w:r>
        <w:rPr>
          <w:rFonts w:ascii="David" w:hAnsi="David" w:cs="David"/>
          <w:sz w:val="24"/>
          <w:szCs w:val="24"/>
          <w:rtl/>
        </w:rPr>
        <w:t xml:space="preserve"> לרבות יחידות הדיור הנוספות בסך של 158,000 ₪. </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עוד על מנת לתמוך בטענה לגבי ביצוע עסקת החליפין, טוענים התובעים, כי בעת ביצוע העסקה שווי הבית ב</w:t>
      </w:r>
      <w:r w:rsidR="00EE0F14">
        <w:rPr>
          <w:rFonts w:ascii="David" w:hAnsi="David" w:cs="David"/>
          <w:sz w:val="24"/>
          <w:szCs w:val="24"/>
        </w:rPr>
        <w:t>xxx</w:t>
      </w:r>
      <w:r>
        <w:rPr>
          <w:rFonts w:ascii="David" w:hAnsi="David" w:cs="David"/>
          <w:sz w:val="24"/>
          <w:szCs w:val="24"/>
          <w:rtl/>
        </w:rPr>
        <w:t xml:space="preserve"> ושווי הדירה ב</w:t>
      </w:r>
      <w:r w:rsidR="00EE0F14">
        <w:rPr>
          <w:rFonts w:ascii="David" w:hAnsi="David" w:cs="David"/>
          <w:sz w:val="24"/>
          <w:szCs w:val="24"/>
        </w:rPr>
        <w:t>xxx</w:t>
      </w:r>
      <w:r>
        <w:rPr>
          <w:rFonts w:ascii="David" w:hAnsi="David" w:cs="David"/>
          <w:sz w:val="24"/>
          <w:szCs w:val="24"/>
          <w:rtl/>
        </w:rPr>
        <w:t xml:space="preserve"> היו כמעט זהים. לטענתם, הדירה ב</w:t>
      </w:r>
      <w:r w:rsidR="00EE0F14">
        <w:rPr>
          <w:rFonts w:ascii="David" w:hAnsi="David" w:cs="David"/>
          <w:sz w:val="24"/>
          <w:szCs w:val="24"/>
        </w:rPr>
        <w:t>xxx</w:t>
      </w:r>
      <w:r>
        <w:rPr>
          <w:rFonts w:ascii="David" w:hAnsi="David" w:cs="David"/>
          <w:sz w:val="24"/>
          <w:szCs w:val="24"/>
          <w:rtl/>
        </w:rPr>
        <w:t xml:space="preserve"> נרכשה במחיר של 116,000$ ואילו הבית ב</w:t>
      </w:r>
      <w:r w:rsidR="00EE0F14">
        <w:rPr>
          <w:rFonts w:ascii="David" w:hAnsi="David" w:cs="David"/>
          <w:sz w:val="24"/>
          <w:szCs w:val="24"/>
        </w:rPr>
        <w:t>xxx</w:t>
      </w:r>
      <w:r>
        <w:rPr>
          <w:rFonts w:ascii="David" w:hAnsi="David" w:cs="David"/>
          <w:sz w:val="24"/>
          <w:szCs w:val="24"/>
          <w:rtl/>
        </w:rPr>
        <w:t>, באותה העת, עמד, על בסיס הערכת שמאי על סך של 144,000$. מאחר וכבר אז חלקם של התובעים בבית ב</w:t>
      </w:r>
      <w:r w:rsidR="00EE0F14">
        <w:rPr>
          <w:rFonts w:ascii="David" w:hAnsi="David" w:cs="David"/>
          <w:sz w:val="24"/>
          <w:szCs w:val="24"/>
        </w:rPr>
        <w:t>xxx</w:t>
      </w:r>
      <w:r>
        <w:rPr>
          <w:rFonts w:ascii="David" w:hAnsi="David" w:cs="David"/>
          <w:sz w:val="24"/>
          <w:szCs w:val="24"/>
          <w:rtl/>
        </w:rPr>
        <w:t xml:space="preserve"> היה בשיעור של 20%, העמידו התובעים את שווי הבית ב</w:t>
      </w:r>
      <w:r w:rsidR="00EE0F14">
        <w:rPr>
          <w:rFonts w:ascii="David" w:hAnsi="David" w:cs="David"/>
          <w:sz w:val="24"/>
          <w:szCs w:val="24"/>
        </w:rPr>
        <w:t>xxx</w:t>
      </w:r>
      <w:r>
        <w:rPr>
          <w:rFonts w:ascii="David" w:hAnsi="David" w:cs="David"/>
          <w:sz w:val="24"/>
          <w:szCs w:val="24"/>
          <w:rtl/>
        </w:rPr>
        <w:t>, לשם השוואה לשווי הדירה ב</w:t>
      </w:r>
      <w:r w:rsidR="00EE0F14">
        <w:rPr>
          <w:rFonts w:ascii="David" w:hAnsi="David" w:cs="David"/>
          <w:sz w:val="24"/>
          <w:szCs w:val="24"/>
        </w:rPr>
        <w:t>xxx</w:t>
      </w:r>
      <w:r>
        <w:rPr>
          <w:rFonts w:ascii="David" w:hAnsi="David" w:cs="David"/>
          <w:sz w:val="24"/>
          <w:szCs w:val="24"/>
          <w:rtl/>
        </w:rPr>
        <w:t>, בשיעור של 80% ועל סך של 115,200$.</w:t>
      </w:r>
    </w:p>
    <w:p w:rsidR="00120007" w:rsidRDefault="00120007" w:rsidP="00120007">
      <w:pPr>
        <w:pStyle w:val="ad"/>
        <w:ind w:left="651" w:hanging="651"/>
        <w:rPr>
          <w:rFonts w:ascii="David" w:hAnsi="David" w:cs="David"/>
          <w:sz w:val="24"/>
          <w:szCs w:val="24"/>
        </w:rPr>
      </w:pPr>
    </w:p>
    <w:p w:rsidR="00120007" w:rsidRPr="0029113D"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לטענת התובעים, בשנת 2015, לאחר שתקופת החכירה הראשונית של הבית ב</w:t>
      </w:r>
      <w:r w:rsidR="00EE0F14">
        <w:rPr>
          <w:rFonts w:ascii="David" w:hAnsi="David" w:cs="David"/>
          <w:sz w:val="24"/>
          <w:szCs w:val="24"/>
        </w:rPr>
        <w:t>xxx</w:t>
      </w:r>
      <w:r>
        <w:rPr>
          <w:rFonts w:ascii="David" w:hAnsi="David" w:cs="David"/>
          <w:sz w:val="24"/>
          <w:szCs w:val="24"/>
          <w:rtl/>
        </w:rPr>
        <w:t xml:space="preserve"> הסתיימה, הם אלה שנשאו בכל התשלומים למינהל מקרקעי ישראל, לרבות בעלויות עבור היוון תקופת החכירה והארכתה, לתקופה נוספת עד לשנת 2053 </w:t>
      </w:r>
      <w:r w:rsidRPr="0029113D">
        <w:rPr>
          <w:rFonts w:ascii="David" w:hAnsi="David" w:cs="David"/>
          <w:sz w:val="24"/>
          <w:szCs w:val="24"/>
          <w:rtl/>
        </w:rPr>
        <w:t>– מפנים לנספחים יג-יד לתצהיר עדות ראשית.</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התובעים טוענים כי עסקת החליפין לא בוצעה באמצעות הסכם בכתב, וזאת בשל מספר סיבות:</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2"/>
        </w:numPr>
        <w:spacing w:line="360" w:lineRule="auto"/>
        <w:ind w:left="935" w:hanging="426"/>
        <w:jc w:val="both"/>
        <w:rPr>
          <w:rFonts w:ascii="David" w:hAnsi="David" w:cs="David"/>
          <w:sz w:val="24"/>
          <w:szCs w:val="24"/>
          <w:rtl/>
        </w:rPr>
      </w:pPr>
      <w:r>
        <w:rPr>
          <w:rFonts w:ascii="David" w:hAnsi="David" w:cs="David"/>
          <w:sz w:val="24"/>
          <w:szCs w:val="24"/>
          <w:rtl/>
        </w:rPr>
        <w:t>לצורך מימון רכישת הדירה ב</w:t>
      </w:r>
      <w:r w:rsidR="00EE0F14">
        <w:rPr>
          <w:rFonts w:ascii="David" w:hAnsi="David" w:cs="David"/>
          <w:sz w:val="24"/>
          <w:szCs w:val="24"/>
        </w:rPr>
        <w:t>xxx</w:t>
      </w:r>
      <w:r>
        <w:rPr>
          <w:rFonts w:ascii="David" w:hAnsi="David" w:cs="David"/>
          <w:sz w:val="24"/>
          <w:szCs w:val="24"/>
          <w:rtl/>
        </w:rPr>
        <w:t xml:space="preserve"> נאלצו התובעים לגרור משכנתא, מהדירה שמכרו ב</w:t>
      </w:r>
      <w:r w:rsidR="00EE0F14">
        <w:rPr>
          <w:rFonts w:ascii="David" w:hAnsi="David" w:cs="David"/>
          <w:sz w:val="24"/>
          <w:szCs w:val="24"/>
        </w:rPr>
        <w:t>xxx</w:t>
      </w:r>
      <w:r>
        <w:rPr>
          <w:rFonts w:ascii="David" w:hAnsi="David" w:cs="David"/>
          <w:sz w:val="24"/>
          <w:szCs w:val="24"/>
          <w:rtl/>
        </w:rPr>
        <w:t>, וליטול משכנתא נוספת לתקופה של 10 שנים, ועל כן לא ניתן היה להעביר את הזכויות ביניהם לבין המנוחה.</w:t>
      </w:r>
    </w:p>
    <w:p w:rsidR="00120007" w:rsidRDefault="00120007" w:rsidP="00120007">
      <w:pPr>
        <w:pStyle w:val="ad"/>
        <w:numPr>
          <w:ilvl w:val="0"/>
          <w:numId w:val="2"/>
        </w:numPr>
        <w:spacing w:line="360" w:lineRule="auto"/>
        <w:ind w:left="935" w:hanging="426"/>
        <w:jc w:val="both"/>
        <w:rPr>
          <w:rFonts w:ascii="David" w:hAnsi="David" w:cs="David"/>
          <w:sz w:val="24"/>
          <w:szCs w:val="24"/>
        </w:rPr>
      </w:pPr>
      <w:r>
        <w:rPr>
          <w:rFonts w:ascii="David" w:hAnsi="David" w:cs="David"/>
          <w:sz w:val="24"/>
          <w:szCs w:val="24"/>
          <w:rtl/>
        </w:rPr>
        <w:t>נוכח מערכת היחסים הטובה שהיתה קיימת בין האחים, ומאחר והיה ברור לכולם כי מדובר בעסקת חליפין, לא נראה לתובעים כי קיימת סיבה לחשוש שמא מי מהנתבעים יעלה טענות כנגד עסקה זו.</w:t>
      </w:r>
    </w:p>
    <w:p w:rsidR="00120007" w:rsidRDefault="00120007" w:rsidP="00120007">
      <w:pPr>
        <w:pStyle w:val="ad"/>
        <w:spacing w:line="240" w:lineRule="auto"/>
        <w:ind w:left="651" w:hanging="651"/>
        <w:jc w:val="both"/>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Pr>
      </w:pPr>
      <w:r>
        <w:rPr>
          <w:rFonts w:ascii="David" w:hAnsi="David" w:cs="David"/>
          <w:sz w:val="24"/>
          <w:szCs w:val="24"/>
          <w:rtl/>
        </w:rPr>
        <w:t>התובעים טוענים כי אופן התנהלותם של הנתבעים, לאורך השנים, ובעיקר שתיקתם בכל דבר וענין הנוגע לעסקת החליפין, לרבות השקעתם הכספית הגדולה של התובעים בבית ב</w:t>
      </w:r>
      <w:r w:rsidR="00EE0F14">
        <w:rPr>
          <w:rFonts w:ascii="David" w:hAnsi="David" w:cs="David"/>
          <w:sz w:val="24"/>
          <w:szCs w:val="24"/>
        </w:rPr>
        <w:t>xxx</w:t>
      </w:r>
      <w:r>
        <w:rPr>
          <w:rFonts w:ascii="David" w:hAnsi="David" w:cs="David"/>
          <w:sz w:val="24"/>
          <w:szCs w:val="24"/>
          <w:rtl/>
        </w:rPr>
        <w:t xml:space="preserve">, מגוריהם רבת השנים (כ- 24 שנים) והעובדה שנושא זה לא עלה באף שיחה ו/או דיון, מעידים כי הכירו בתקפותה. </w:t>
      </w:r>
    </w:p>
    <w:p w:rsidR="00120007" w:rsidRDefault="00120007" w:rsidP="00120007">
      <w:pPr>
        <w:pStyle w:val="ad"/>
        <w:spacing w:line="240" w:lineRule="auto"/>
        <w:ind w:left="651" w:hanging="651"/>
        <w:jc w:val="both"/>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Pr>
      </w:pPr>
      <w:r>
        <w:rPr>
          <w:rFonts w:ascii="David" w:hAnsi="David" w:cs="David"/>
          <w:sz w:val="24"/>
          <w:szCs w:val="24"/>
          <w:rtl/>
        </w:rPr>
        <w:t>כיום, טענות הנתבעים לזכויות בבית ב</w:t>
      </w:r>
      <w:r w:rsidR="00EE0F14">
        <w:rPr>
          <w:rFonts w:ascii="David" w:hAnsi="David" w:cs="David"/>
          <w:sz w:val="24"/>
          <w:szCs w:val="24"/>
        </w:rPr>
        <w:t>xxx</w:t>
      </w:r>
      <w:r>
        <w:rPr>
          <w:rFonts w:ascii="David" w:hAnsi="David" w:cs="David"/>
          <w:sz w:val="24"/>
          <w:szCs w:val="24"/>
          <w:rtl/>
        </w:rPr>
        <w:t>, מכח היותם יורשים, מעידות על חוסר הגינות משווע, ונהיר כי לו ערך הדירה ב</w:t>
      </w:r>
      <w:r w:rsidR="00EE0F14">
        <w:rPr>
          <w:rFonts w:ascii="David" w:hAnsi="David" w:cs="David"/>
          <w:sz w:val="24"/>
          <w:szCs w:val="24"/>
        </w:rPr>
        <w:t>xxx</w:t>
      </w:r>
      <w:r>
        <w:rPr>
          <w:rFonts w:ascii="David" w:hAnsi="David" w:cs="David"/>
          <w:sz w:val="24"/>
          <w:szCs w:val="24"/>
          <w:rtl/>
        </w:rPr>
        <w:t xml:space="preserve"> היה עולה על ערך הבית ב</w:t>
      </w:r>
      <w:r w:rsidR="00EE0F14">
        <w:rPr>
          <w:rFonts w:ascii="David" w:hAnsi="David" w:cs="David"/>
          <w:sz w:val="24"/>
          <w:szCs w:val="24"/>
        </w:rPr>
        <w:t>xxx</w:t>
      </w:r>
      <w:r>
        <w:rPr>
          <w:rFonts w:ascii="David" w:hAnsi="David" w:cs="David"/>
          <w:sz w:val="24"/>
          <w:szCs w:val="24"/>
          <w:rtl/>
        </w:rPr>
        <w:t>, היו עומדים על זכויותיהם בדירה ב</w:t>
      </w:r>
      <w:r w:rsidR="00EE0F14">
        <w:rPr>
          <w:rFonts w:ascii="David" w:hAnsi="David" w:cs="David"/>
          <w:sz w:val="24"/>
          <w:szCs w:val="24"/>
        </w:rPr>
        <w:t>xxx</w:t>
      </w:r>
      <w:r>
        <w:rPr>
          <w:rFonts w:ascii="David" w:hAnsi="David" w:cs="David"/>
          <w:sz w:val="24"/>
          <w:szCs w:val="24"/>
          <w:rtl/>
        </w:rPr>
        <w:t>, מכח אותה עסקת החליפין, בה כיום אינם מכירים.</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בסוף סיכומיהם טוענים התובעים כי במהלך 2015 או בסמוך לכך, החלו לברר כיצד ניתן להעביר את הזכויות בבית ב</w:t>
      </w:r>
      <w:r w:rsidR="00EE0F14">
        <w:rPr>
          <w:rFonts w:ascii="David" w:hAnsi="David" w:cs="David"/>
          <w:sz w:val="24"/>
          <w:szCs w:val="24"/>
        </w:rPr>
        <w:t>xxx</w:t>
      </w:r>
      <w:r>
        <w:rPr>
          <w:rFonts w:ascii="David" w:hAnsi="David" w:cs="David"/>
          <w:sz w:val="24"/>
          <w:szCs w:val="24"/>
          <w:rtl/>
        </w:rPr>
        <w:t xml:space="preserve"> על שמם, אולם אז גילו שמדובר בהליך לא פשוט וראשית יש להאריך את תקופת החכירה והעברת הזכויות על פי צוואת המנוח. אשר על כן, בחודש 9/15 החלו במלאכת הסדרת הארכת חוזה החכירה מול מנהל מקרקעי ישראל ואף הגיעו עימם להסדר תשלומים.</w:t>
      </w:r>
    </w:p>
    <w:p w:rsidR="00120007" w:rsidRDefault="00120007" w:rsidP="00120007">
      <w:pPr>
        <w:pStyle w:val="ad"/>
        <w:ind w:left="651" w:hanging="651"/>
        <w:rPr>
          <w:rFonts w:ascii="David" w:hAnsi="David" w:cs="David"/>
          <w:sz w:val="24"/>
          <w:szCs w:val="24"/>
        </w:rPr>
      </w:pPr>
    </w:p>
    <w:p w:rsidR="00120007" w:rsidRDefault="00120007" w:rsidP="0029113D">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לגבי הוראות החוק, לפיהן דרישת הכתב במקרקעין הינה מהותית, אשר בהעדרה אין תוקף משפטי ומחייב לעסקה במקרקעין, טוענים התובעים כי לאורך השנים פסיקת בתי המשפט ריככה את דרישת הכתב בעזרת מבחן "זעקת ההגינות" תוך הפנייה לפסיקה, שם נקבע כי לא ניתן להרכיב רשימה סגורה של העילות והמצבים בהם יתכן ויידרש בית המשפט לרכך את דרישת הכתב ולעשות שימוש ב"זעקת ההגינות", ובמקרים מסוימים עיקרון תום הלב גובר על דרישת הכתב, כמו במקרה דנן.</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לענין תביעת הנתבעים לפירוק שיתוף טוענים התובעים כי מדובר בתביעה שהוגשה בחוסר תום לב, והיא מתעלמת מהמצב העובדתי בשטח, שעה שעסקת החליפין הינה בבחינת "מעשה עשוי" במשך תקופה של כ- 25 שנים.</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מטעמי זהירות משפטית וככל שבית המשפט ידחה את תביעתם, עותרים התובעים לאפשר להם לרכוש את חלקם של הנתבעים בבית ב</w:t>
      </w:r>
      <w:r w:rsidR="00EE0F14">
        <w:rPr>
          <w:rFonts w:ascii="David" w:hAnsi="David" w:cs="David"/>
          <w:sz w:val="24"/>
          <w:szCs w:val="24"/>
        </w:rPr>
        <w:t>xxx</w:t>
      </w:r>
      <w:r>
        <w:rPr>
          <w:rFonts w:ascii="David" w:hAnsi="David" w:cs="David"/>
          <w:sz w:val="24"/>
          <w:szCs w:val="24"/>
          <w:rtl/>
        </w:rPr>
        <w:t xml:space="preserve">, במחיר שלא </w:t>
      </w:r>
      <w:r w:rsidRPr="00CE5A86">
        <w:rPr>
          <w:rFonts w:ascii="David" w:hAnsi="David" w:cs="David"/>
          <w:sz w:val="24"/>
          <w:szCs w:val="24"/>
          <w:rtl/>
        </w:rPr>
        <w:t>יפחת</w:t>
      </w:r>
      <w:r>
        <w:rPr>
          <w:rFonts w:ascii="David" w:hAnsi="David" w:cs="David"/>
          <w:sz w:val="24"/>
          <w:szCs w:val="24"/>
          <w:rtl/>
        </w:rPr>
        <w:t xml:space="preserve"> ממחיר השוק, אולם בניכוי השקעותיהם הרבות אשר גרמו להשבחת שווי הבית ב</w:t>
      </w:r>
      <w:r w:rsidR="00EE0F14">
        <w:rPr>
          <w:rFonts w:ascii="David" w:hAnsi="David" w:cs="David"/>
          <w:sz w:val="24"/>
          <w:szCs w:val="24"/>
        </w:rPr>
        <w:t>xxx</w:t>
      </w:r>
      <w:r>
        <w:rPr>
          <w:rFonts w:ascii="David" w:hAnsi="David" w:cs="David"/>
          <w:sz w:val="24"/>
          <w:szCs w:val="24"/>
          <w:rtl/>
        </w:rPr>
        <w:t>.</w:t>
      </w:r>
    </w:p>
    <w:p w:rsidR="00120007" w:rsidRDefault="00120007" w:rsidP="00120007">
      <w:pPr>
        <w:spacing w:line="360" w:lineRule="auto"/>
        <w:ind w:left="651" w:hanging="651"/>
        <w:jc w:val="both"/>
        <w:rPr>
          <w:rFonts w:ascii="David" w:hAnsi="David"/>
          <w:b/>
          <w:bCs/>
          <w:sz w:val="26"/>
          <w:szCs w:val="26"/>
          <w:u w:val="single"/>
          <w:rtl/>
        </w:rPr>
      </w:pPr>
      <w:r>
        <w:rPr>
          <w:rFonts w:ascii="David" w:hAnsi="David"/>
          <w:b/>
          <w:bCs/>
          <w:sz w:val="26"/>
          <w:szCs w:val="26"/>
          <w:u w:val="single"/>
          <w:rtl/>
        </w:rPr>
        <w:t>טענות הנתבעים בתמצית:</w:t>
      </w:r>
    </w:p>
    <w:p w:rsidR="0039123E" w:rsidRDefault="0039123E" w:rsidP="0039123E">
      <w:pPr>
        <w:ind w:left="651" w:hanging="651"/>
        <w:jc w:val="both"/>
        <w:rPr>
          <w:rFonts w:ascii="David" w:hAnsi="David"/>
          <w:b/>
          <w:bCs/>
          <w:sz w:val="26"/>
          <w:szCs w:val="26"/>
          <w:u w:val="single"/>
          <w:rtl/>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לטענת הנתבעים 78% מזכויות המנוחה בבית ב</w:t>
      </w:r>
      <w:r w:rsidR="00EE0F14">
        <w:rPr>
          <w:rFonts w:ascii="David" w:hAnsi="David" w:cs="David"/>
          <w:sz w:val="24"/>
          <w:szCs w:val="24"/>
        </w:rPr>
        <w:t>xxx</w:t>
      </w:r>
      <w:r>
        <w:rPr>
          <w:rFonts w:ascii="David" w:hAnsi="David" w:cs="David"/>
          <w:sz w:val="24"/>
          <w:szCs w:val="24"/>
          <w:rtl/>
        </w:rPr>
        <w:t xml:space="preserve"> שייכים להם מכח צו הירושה של המנוחה ושל המנוח. טענה זו מבוססת, לשיטת הנתבעים, על שלושה צווי ירושה, הראשון צוואת המנוח </w:t>
      </w:r>
      <w:r>
        <w:rPr>
          <w:rFonts w:ascii="David" w:hAnsi="David" w:cs="David"/>
          <w:sz w:val="24"/>
          <w:szCs w:val="24"/>
          <w:rtl/>
        </w:rPr>
        <w:lastRenderedPageBreak/>
        <w:t xml:space="preserve">מיום 25.12.1970, ממנו הסתלקה הנתבעת 3 לטובת המנוחה, השני צוואת המנוחה מיום 13.5.2020 והשלישי צוואת האחות המנוחה, מיום 24.7.02018. </w:t>
      </w:r>
    </w:p>
    <w:p w:rsidR="00120007" w:rsidRDefault="00120007" w:rsidP="00120007">
      <w:pPr>
        <w:pStyle w:val="ad"/>
        <w:spacing w:line="240" w:lineRule="auto"/>
        <w:ind w:left="651" w:hanging="651"/>
        <w:jc w:val="both"/>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Pr>
      </w:pPr>
      <w:r>
        <w:rPr>
          <w:rFonts w:ascii="David" w:hAnsi="David" w:cs="David"/>
          <w:sz w:val="24"/>
          <w:szCs w:val="24"/>
          <w:rtl/>
        </w:rPr>
        <w:t>שקלול הצוואות שלושתן, מראה כי הזכויות בבית ב</w:t>
      </w:r>
      <w:r w:rsidR="00EE0F14">
        <w:rPr>
          <w:rFonts w:ascii="David" w:hAnsi="David" w:cs="David"/>
          <w:sz w:val="24"/>
          <w:szCs w:val="24"/>
        </w:rPr>
        <w:t>xxx</w:t>
      </w:r>
      <w:r>
        <w:rPr>
          <w:rFonts w:ascii="David" w:hAnsi="David" w:cs="David"/>
          <w:sz w:val="24"/>
          <w:szCs w:val="24"/>
          <w:rtl/>
        </w:rPr>
        <w:t>, הינן כדלהלן:</w:t>
      </w:r>
    </w:p>
    <w:p w:rsidR="00120007" w:rsidRDefault="00120007" w:rsidP="00120007">
      <w:pPr>
        <w:pStyle w:val="ad"/>
        <w:spacing w:line="360" w:lineRule="auto"/>
        <w:ind w:left="651"/>
        <w:jc w:val="both"/>
        <w:rPr>
          <w:rFonts w:ascii="David" w:hAnsi="David" w:cs="David"/>
          <w:sz w:val="24"/>
          <w:szCs w:val="24"/>
          <w:rtl/>
        </w:rPr>
      </w:pPr>
      <w:r>
        <w:rPr>
          <w:rFonts w:ascii="David" w:hAnsi="David" w:cs="David"/>
          <w:sz w:val="24"/>
          <w:szCs w:val="24"/>
          <w:rtl/>
        </w:rPr>
        <w:t>התובע – 22%</w:t>
      </w:r>
    </w:p>
    <w:p w:rsidR="00120007" w:rsidRDefault="00120007" w:rsidP="00120007">
      <w:pPr>
        <w:pStyle w:val="ad"/>
        <w:spacing w:line="360" w:lineRule="auto"/>
        <w:ind w:left="651"/>
        <w:jc w:val="both"/>
        <w:rPr>
          <w:rFonts w:ascii="David" w:hAnsi="David" w:cs="David"/>
          <w:sz w:val="24"/>
          <w:szCs w:val="24"/>
          <w:rtl/>
        </w:rPr>
      </w:pPr>
      <w:r>
        <w:rPr>
          <w:rFonts w:ascii="David" w:hAnsi="David" w:cs="David"/>
          <w:sz w:val="24"/>
          <w:szCs w:val="24"/>
          <w:rtl/>
        </w:rPr>
        <w:t>הנתבע 1 והנתבעת 2 – כל אחד 22%</w:t>
      </w:r>
    </w:p>
    <w:p w:rsidR="00120007" w:rsidRDefault="00120007" w:rsidP="00120007">
      <w:pPr>
        <w:pStyle w:val="ad"/>
        <w:spacing w:line="360" w:lineRule="auto"/>
        <w:ind w:left="651"/>
        <w:jc w:val="both"/>
        <w:rPr>
          <w:rFonts w:ascii="David" w:hAnsi="David" w:cs="David"/>
          <w:sz w:val="24"/>
          <w:szCs w:val="24"/>
          <w:rtl/>
        </w:rPr>
      </w:pPr>
      <w:r>
        <w:rPr>
          <w:rFonts w:ascii="David" w:hAnsi="David" w:cs="David"/>
          <w:sz w:val="24"/>
          <w:szCs w:val="24"/>
          <w:rtl/>
        </w:rPr>
        <w:t>הנתבעת 3 – 12%</w:t>
      </w:r>
    </w:p>
    <w:p w:rsidR="00120007" w:rsidRDefault="00120007" w:rsidP="00120007">
      <w:pPr>
        <w:pStyle w:val="ad"/>
        <w:spacing w:line="360" w:lineRule="auto"/>
        <w:ind w:left="651"/>
        <w:jc w:val="both"/>
        <w:rPr>
          <w:rFonts w:ascii="David" w:hAnsi="David" w:cs="David"/>
          <w:sz w:val="24"/>
          <w:szCs w:val="24"/>
          <w:rtl/>
        </w:rPr>
      </w:pPr>
      <w:r>
        <w:rPr>
          <w:rFonts w:ascii="David" w:hAnsi="David" w:cs="David"/>
          <w:sz w:val="24"/>
          <w:szCs w:val="24"/>
          <w:rtl/>
        </w:rPr>
        <w:t>הנתבעת 4 – 17%</w:t>
      </w:r>
    </w:p>
    <w:p w:rsidR="00120007" w:rsidRDefault="00120007" w:rsidP="00120007">
      <w:pPr>
        <w:pStyle w:val="ad"/>
        <w:spacing w:line="360" w:lineRule="auto"/>
        <w:ind w:left="651"/>
        <w:jc w:val="both"/>
        <w:rPr>
          <w:rFonts w:ascii="David" w:hAnsi="David" w:cs="David"/>
          <w:sz w:val="24"/>
          <w:szCs w:val="24"/>
          <w:rtl/>
        </w:rPr>
      </w:pPr>
      <w:r>
        <w:rPr>
          <w:rFonts w:ascii="David" w:hAnsi="David" w:cs="David"/>
          <w:sz w:val="24"/>
          <w:szCs w:val="24"/>
          <w:rtl/>
        </w:rPr>
        <w:t>הנתבע 5 – 5%</w:t>
      </w:r>
    </w:p>
    <w:p w:rsidR="00120007" w:rsidRDefault="00120007" w:rsidP="00120007">
      <w:pPr>
        <w:pStyle w:val="ad"/>
        <w:spacing w:line="360" w:lineRule="auto"/>
        <w:ind w:left="651" w:hanging="651"/>
        <w:jc w:val="both"/>
        <w:rPr>
          <w:rFonts w:ascii="David" w:hAnsi="David" w:cs="David"/>
          <w:sz w:val="24"/>
          <w:szCs w:val="24"/>
          <w:rtl/>
        </w:rPr>
      </w:pPr>
    </w:p>
    <w:p w:rsidR="00120007" w:rsidRDefault="00120007" w:rsidP="00120007">
      <w:pPr>
        <w:pStyle w:val="ad"/>
        <w:numPr>
          <w:ilvl w:val="0"/>
          <w:numId w:val="1"/>
        </w:numPr>
        <w:spacing w:line="360" w:lineRule="auto"/>
        <w:ind w:left="651" w:hanging="651"/>
        <w:jc w:val="both"/>
        <w:rPr>
          <w:rFonts w:ascii="David" w:hAnsi="David" w:cs="David"/>
          <w:sz w:val="24"/>
          <w:szCs w:val="24"/>
        </w:rPr>
      </w:pPr>
      <w:r>
        <w:rPr>
          <w:rFonts w:ascii="David" w:hAnsi="David" w:cs="David"/>
          <w:sz w:val="24"/>
          <w:szCs w:val="24"/>
          <w:rtl/>
        </w:rPr>
        <w:t>לטענת הנתבעים עומדת בפני בית המשפט שאלה אחת בלבד להכרעה והיא האם ב- 5/1994 העבירה המנוחה את זכויותיה בבית ב</w:t>
      </w:r>
      <w:r w:rsidR="00EE0F14">
        <w:rPr>
          <w:rFonts w:ascii="David" w:hAnsi="David" w:cs="David"/>
          <w:sz w:val="24"/>
          <w:szCs w:val="24"/>
        </w:rPr>
        <w:t>xxx</w:t>
      </w:r>
      <w:r>
        <w:rPr>
          <w:rFonts w:ascii="David" w:hAnsi="David" w:cs="David"/>
          <w:sz w:val="24"/>
          <w:szCs w:val="24"/>
          <w:rtl/>
        </w:rPr>
        <w:t xml:space="preserve"> לתובעים, תמורת זכויותיהם בדירה ב</w:t>
      </w:r>
      <w:r w:rsidR="00EE0F14">
        <w:rPr>
          <w:rFonts w:ascii="David" w:hAnsi="David" w:cs="David"/>
          <w:sz w:val="24"/>
          <w:szCs w:val="24"/>
        </w:rPr>
        <w:t>xxx</w:t>
      </w:r>
      <w:r>
        <w:rPr>
          <w:rFonts w:ascii="David" w:hAnsi="David" w:cs="David"/>
          <w:sz w:val="24"/>
          <w:szCs w:val="24"/>
          <w:rtl/>
        </w:rPr>
        <w:t>, ומכח העברה זו זכאים התובעים להירשם כבעלים של 100% מהזכויות בבית ב</w:t>
      </w:r>
      <w:r w:rsidR="00EE0F14">
        <w:rPr>
          <w:rFonts w:ascii="David" w:hAnsi="David" w:cs="David"/>
          <w:sz w:val="24"/>
          <w:szCs w:val="24"/>
        </w:rPr>
        <w:t>xxx</w:t>
      </w:r>
      <w:r>
        <w:rPr>
          <w:rFonts w:ascii="David" w:hAnsi="David" w:cs="David"/>
          <w:sz w:val="24"/>
          <w:szCs w:val="24"/>
          <w:rtl/>
        </w:rPr>
        <w:t>.</w:t>
      </w:r>
    </w:p>
    <w:p w:rsidR="00120007" w:rsidRDefault="00120007" w:rsidP="00120007">
      <w:pPr>
        <w:pStyle w:val="ad"/>
        <w:spacing w:line="240" w:lineRule="auto"/>
        <w:ind w:left="651" w:hanging="651"/>
        <w:jc w:val="both"/>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Pr>
      </w:pPr>
      <w:r>
        <w:rPr>
          <w:rFonts w:ascii="David" w:hAnsi="David" w:cs="David"/>
          <w:sz w:val="24"/>
          <w:szCs w:val="24"/>
          <w:rtl/>
        </w:rPr>
        <w:t>לטענת הנתבעים התשובה לשאלה זו שלילית ועל כן יש לדחות את תביעת התובעים. הנתבעים טוענים כי מדובר בעסקה במקרקעין ועל פי חוק המקרקעין, עסקה במקרקעין טעונה מסמך בכתב. משלא הוגש על ידי התובעים מסמך כלשהו העומד בדרישות החוק, ואף לא נטען שקיים כזה, אלא להיפך, התובעים העידו שלא קיים כל מסמך, לא ניתן לקבל את תביעתם.</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רק במידה וטענה זו לא תתקבל, טוענים הנתבעים, יש לדחות גם את הטענות הנוספות של התובעים.</w:t>
      </w:r>
    </w:p>
    <w:p w:rsidR="00120007" w:rsidRDefault="00120007" w:rsidP="00120007">
      <w:pPr>
        <w:pStyle w:val="ad"/>
        <w:spacing w:line="240" w:lineRule="auto"/>
        <w:ind w:left="651" w:hanging="651"/>
        <w:jc w:val="both"/>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Pr>
      </w:pPr>
      <w:r>
        <w:rPr>
          <w:rFonts w:ascii="David" w:hAnsi="David" w:cs="David"/>
          <w:sz w:val="24"/>
          <w:szCs w:val="24"/>
          <w:rtl/>
        </w:rPr>
        <w:t>ראשית טוענים הנתבעים כי המנוחה לא יכולה היתה לבצע את עסקת החליפין משום שבאותה העת החזיקה רק ב- 80% מהזכויות בבית ב</w:t>
      </w:r>
      <w:r w:rsidR="00EE0F14">
        <w:rPr>
          <w:rFonts w:ascii="David" w:hAnsi="David" w:cs="David"/>
          <w:sz w:val="24"/>
          <w:szCs w:val="24"/>
        </w:rPr>
        <w:t>xxx</w:t>
      </w:r>
      <w:r>
        <w:rPr>
          <w:rFonts w:ascii="David" w:hAnsi="David" w:cs="David"/>
          <w:sz w:val="24"/>
          <w:szCs w:val="24"/>
          <w:rtl/>
        </w:rPr>
        <w:t xml:space="preserve"> – 50% בבעלות ו- 30% מכח ירושת בעלה – המנוח.</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כאשר 20% מהבעלות בבית ב</w:t>
      </w:r>
      <w:r w:rsidR="00EE0F14">
        <w:rPr>
          <w:rFonts w:ascii="David" w:hAnsi="David" w:cs="David"/>
          <w:sz w:val="24"/>
          <w:szCs w:val="24"/>
        </w:rPr>
        <w:t>xxx</w:t>
      </w:r>
      <w:r>
        <w:rPr>
          <w:rFonts w:ascii="David" w:hAnsi="David" w:cs="David"/>
          <w:sz w:val="24"/>
          <w:szCs w:val="24"/>
          <w:rtl/>
        </w:rPr>
        <w:t xml:space="preserve"> הינה בבעלות ילדיהם של הצדדים, מכח ירושת המנוח, נהיר כי לא ניתן לעשות עסקה בקניינם, מבלי לקבל את הסכמתם. אין מחלוקת כי הסכמה זו לא ניתנה, לכל הפחות לא ניתנה בכתב.</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 xml:space="preserve">לטענת התובעים כי במקרים </w:t>
      </w:r>
      <w:r w:rsidR="009D6215">
        <w:rPr>
          <w:rFonts w:ascii="David" w:hAnsi="David" w:cs="David" w:hint="cs"/>
          <w:sz w:val="24"/>
          <w:szCs w:val="24"/>
          <w:rtl/>
        </w:rPr>
        <w:t>מסוימים</w:t>
      </w:r>
      <w:r>
        <w:rPr>
          <w:rFonts w:ascii="David" w:hAnsi="David" w:cs="David"/>
          <w:sz w:val="24"/>
          <w:szCs w:val="24"/>
          <w:rtl/>
        </w:rPr>
        <w:t xml:space="preserve"> הפסיקה ריככה את דרישת הכתב, משיבים הנתבעים כי הפסיקה אליה מפנים התובעים מלמדת שאין כל </w:t>
      </w:r>
      <w:r w:rsidR="009D6215">
        <w:rPr>
          <w:rFonts w:ascii="David" w:hAnsi="David" w:cs="David" w:hint="cs"/>
          <w:sz w:val="24"/>
          <w:szCs w:val="24"/>
          <w:rtl/>
        </w:rPr>
        <w:t>דמיון</w:t>
      </w:r>
      <w:r>
        <w:rPr>
          <w:rFonts w:ascii="David" w:hAnsi="David" w:cs="David"/>
          <w:sz w:val="24"/>
          <w:szCs w:val="24"/>
          <w:rtl/>
        </w:rPr>
        <w:t xml:space="preserve"> למקרה דנן ובוודאי אין זה המקרה, מאותם המקרים הנדירים, בהם ניתן לקבל עסקה במקרקעין שלא נעשתה בכתב.</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הנתבעים טוענים כי לחוות דעת השמאי, שצורפה כנספח ב' לתצהיר התובעים, יש ערך בשתי נקודות בלבד:</w:t>
      </w:r>
    </w:p>
    <w:p w:rsidR="00120007" w:rsidRDefault="00120007" w:rsidP="00120007">
      <w:pPr>
        <w:pStyle w:val="ad"/>
        <w:ind w:left="651" w:hanging="651"/>
        <w:rPr>
          <w:rFonts w:ascii="David" w:hAnsi="David" w:cs="David"/>
          <w:sz w:val="24"/>
          <w:szCs w:val="24"/>
        </w:rPr>
      </w:pPr>
    </w:p>
    <w:p w:rsidR="00120007" w:rsidRDefault="00120007" w:rsidP="00120007">
      <w:pPr>
        <w:pStyle w:val="ad"/>
        <w:spacing w:line="360" w:lineRule="auto"/>
        <w:ind w:left="651"/>
        <w:jc w:val="both"/>
        <w:rPr>
          <w:rFonts w:ascii="David" w:hAnsi="David" w:cs="David"/>
          <w:sz w:val="24"/>
          <w:szCs w:val="24"/>
          <w:rtl/>
        </w:rPr>
      </w:pPr>
      <w:r>
        <w:rPr>
          <w:rFonts w:ascii="David" w:hAnsi="David" w:cs="David"/>
          <w:b/>
          <w:bCs/>
          <w:sz w:val="24"/>
          <w:szCs w:val="24"/>
          <w:rtl/>
        </w:rPr>
        <w:t>הראשונה</w:t>
      </w:r>
      <w:r>
        <w:rPr>
          <w:rFonts w:ascii="David" w:hAnsi="David" w:cs="David"/>
          <w:sz w:val="24"/>
          <w:szCs w:val="24"/>
          <w:rtl/>
        </w:rPr>
        <w:t xml:space="preserve"> – </w:t>
      </w:r>
      <w:r>
        <w:rPr>
          <w:rFonts w:ascii="David" w:hAnsi="David" w:cs="David"/>
          <w:b/>
          <w:bCs/>
          <w:sz w:val="24"/>
          <w:szCs w:val="24"/>
          <w:rtl/>
        </w:rPr>
        <w:t>שווים של שני הנכסים בעת בו עברה המנוחה להתגורר בדירה ב</w:t>
      </w:r>
      <w:r w:rsidR="00EE0F14">
        <w:rPr>
          <w:rFonts w:ascii="David" w:hAnsi="David" w:cs="David"/>
          <w:b/>
          <w:bCs/>
          <w:sz w:val="24"/>
          <w:szCs w:val="24"/>
        </w:rPr>
        <w:t>xxx</w:t>
      </w:r>
      <w:r>
        <w:rPr>
          <w:rFonts w:ascii="David" w:hAnsi="David" w:cs="David"/>
          <w:sz w:val="24"/>
          <w:szCs w:val="24"/>
          <w:rtl/>
        </w:rPr>
        <w:t>. באותה העת 5/1994, שווי הבית ב</w:t>
      </w:r>
      <w:r w:rsidR="00EE0F14">
        <w:rPr>
          <w:rFonts w:ascii="David" w:hAnsi="David" w:cs="David"/>
          <w:sz w:val="24"/>
          <w:szCs w:val="24"/>
        </w:rPr>
        <w:t>xxx</w:t>
      </w:r>
      <w:r>
        <w:rPr>
          <w:rFonts w:ascii="David" w:hAnsi="David" w:cs="David"/>
          <w:sz w:val="24"/>
          <w:szCs w:val="24"/>
          <w:rtl/>
        </w:rPr>
        <w:t xml:space="preserve"> עמד על סך של 145,000$ ואילו שווי הדירה ב</w:t>
      </w:r>
      <w:r w:rsidR="00EE0F14">
        <w:rPr>
          <w:rFonts w:ascii="David" w:hAnsi="David" w:cs="David"/>
          <w:sz w:val="24"/>
          <w:szCs w:val="24"/>
        </w:rPr>
        <w:t>xxx</w:t>
      </w:r>
      <w:r>
        <w:rPr>
          <w:rFonts w:ascii="David" w:hAnsi="David" w:cs="David"/>
          <w:sz w:val="24"/>
          <w:szCs w:val="24"/>
          <w:rtl/>
        </w:rPr>
        <w:t xml:space="preserve"> עמד על סך של 116,000$. לטענת הנתבעים עובדה זו מחזקת את טענתם כי לא היה שום הגיון בביצוע עסקת חליפין כאשר קיים הפרש של 30,000$ בין שני הנכסים.</w:t>
      </w:r>
    </w:p>
    <w:p w:rsidR="00120007" w:rsidRDefault="00120007" w:rsidP="00120007">
      <w:pPr>
        <w:pStyle w:val="ad"/>
        <w:spacing w:line="240" w:lineRule="auto"/>
        <w:ind w:left="651" w:hanging="651"/>
        <w:jc w:val="both"/>
        <w:rPr>
          <w:rFonts w:ascii="David" w:hAnsi="David" w:cs="David"/>
          <w:sz w:val="24"/>
          <w:szCs w:val="24"/>
          <w:rtl/>
        </w:rPr>
      </w:pPr>
    </w:p>
    <w:p w:rsidR="00120007" w:rsidRDefault="00120007" w:rsidP="00120007">
      <w:pPr>
        <w:pStyle w:val="ad"/>
        <w:spacing w:line="360" w:lineRule="auto"/>
        <w:ind w:left="651"/>
        <w:jc w:val="both"/>
        <w:rPr>
          <w:rFonts w:ascii="David" w:hAnsi="David" w:cs="David"/>
          <w:sz w:val="24"/>
          <w:szCs w:val="24"/>
          <w:rtl/>
        </w:rPr>
      </w:pPr>
      <w:r>
        <w:rPr>
          <w:rFonts w:ascii="David" w:hAnsi="David" w:cs="David"/>
          <w:b/>
          <w:bCs/>
          <w:sz w:val="24"/>
          <w:szCs w:val="24"/>
          <w:rtl/>
        </w:rPr>
        <w:t>השניה</w:t>
      </w:r>
      <w:r>
        <w:rPr>
          <w:rFonts w:ascii="David" w:hAnsi="David" w:cs="David"/>
          <w:sz w:val="24"/>
          <w:szCs w:val="24"/>
          <w:rtl/>
        </w:rPr>
        <w:t xml:space="preserve"> – </w:t>
      </w:r>
      <w:r>
        <w:rPr>
          <w:rFonts w:ascii="David" w:hAnsi="David" w:cs="David"/>
          <w:b/>
          <w:bCs/>
          <w:sz w:val="24"/>
          <w:szCs w:val="24"/>
          <w:rtl/>
        </w:rPr>
        <w:t>הערכת שווי השיפוץ נכון היום</w:t>
      </w:r>
      <w:r>
        <w:rPr>
          <w:rFonts w:ascii="David" w:hAnsi="David" w:cs="David"/>
          <w:sz w:val="24"/>
          <w:szCs w:val="24"/>
          <w:rtl/>
        </w:rPr>
        <w:t>. השמאי העריך את שווי השיפוץ בסך של 554,000 ₪, לכל היותר, בערך נוכחי להיום, כאשר התובעים טוענים כי שיפצו את הבית ב</w:t>
      </w:r>
      <w:r w:rsidR="00EE0F14">
        <w:rPr>
          <w:rFonts w:ascii="David" w:hAnsi="David" w:cs="David"/>
          <w:sz w:val="24"/>
          <w:szCs w:val="24"/>
        </w:rPr>
        <w:t>xxx</w:t>
      </w:r>
      <w:r>
        <w:rPr>
          <w:rFonts w:ascii="David" w:hAnsi="David" w:cs="David"/>
          <w:sz w:val="24"/>
          <w:szCs w:val="24"/>
          <w:rtl/>
        </w:rPr>
        <w:t xml:space="preserve"> בסך של 1.2 מיליון ₪.</w:t>
      </w:r>
    </w:p>
    <w:p w:rsidR="00120007" w:rsidRDefault="00120007" w:rsidP="00120007">
      <w:pPr>
        <w:pStyle w:val="ad"/>
        <w:spacing w:line="240" w:lineRule="auto"/>
        <w:ind w:left="651" w:hanging="651"/>
        <w:jc w:val="both"/>
        <w:rPr>
          <w:rFonts w:ascii="David" w:hAnsi="David" w:cs="David"/>
          <w:sz w:val="24"/>
          <w:szCs w:val="24"/>
          <w:rtl/>
        </w:rPr>
      </w:pPr>
      <w:r>
        <w:rPr>
          <w:rFonts w:ascii="David" w:hAnsi="David" w:cs="David"/>
          <w:sz w:val="24"/>
          <w:szCs w:val="24"/>
          <w:rtl/>
        </w:rPr>
        <w:t xml:space="preserve"> </w:t>
      </w: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מנגד, טוענים הנתבעים, אין לחוו"ד ערך נוסף ממספר סיבות: 1. לשמאי אין מידע כמה עלה השיפוץ בעת ביצועו. 2. לשמאי אין יכולת לדעת מתי בוצע השיפוץ. 3. אין בנמצא היתר בנייה כלשהו. 4. גם התובעים וגם השמאי לא יודעים להגיד מתי בין השנים 1997 ל- 1994 נעשתה ההגדלה של הבית ב</w:t>
      </w:r>
      <w:r w:rsidR="00EE0F14">
        <w:rPr>
          <w:rFonts w:ascii="David" w:hAnsi="David" w:cs="David"/>
          <w:sz w:val="24"/>
          <w:szCs w:val="24"/>
        </w:rPr>
        <w:t>xxx</w:t>
      </w:r>
      <w:r>
        <w:rPr>
          <w:rFonts w:ascii="David" w:hAnsi="David" w:cs="David"/>
          <w:sz w:val="24"/>
          <w:szCs w:val="24"/>
          <w:rtl/>
        </w:rPr>
        <w:t xml:space="preserve"> מ- 86 מ"ר לגודלו היום, מה גם שלא ברור (אפילו היום) מה גודלו האמיתי.</w:t>
      </w:r>
    </w:p>
    <w:p w:rsidR="00120007" w:rsidRDefault="00120007" w:rsidP="00120007">
      <w:pPr>
        <w:pStyle w:val="ad"/>
        <w:spacing w:line="240" w:lineRule="auto"/>
        <w:ind w:left="651" w:hanging="651"/>
        <w:jc w:val="both"/>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Pr>
      </w:pPr>
      <w:r>
        <w:rPr>
          <w:rFonts w:ascii="David" w:hAnsi="David" w:cs="David"/>
          <w:sz w:val="24"/>
          <w:szCs w:val="24"/>
          <w:rtl/>
        </w:rPr>
        <w:t xml:space="preserve">לטענת הנתבעים התובעים לא המציאו לבית המשפט אסמכתאות על שיפוץ או בנייה וכך גם לא הביאו לעדות בעלי מקצוע שיכלו לתמוך בטענותיהם לגבי עלות ההשקעות. </w:t>
      </w:r>
    </w:p>
    <w:p w:rsidR="00120007" w:rsidRDefault="00120007" w:rsidP="00120007">
      <w:pPr>
        <w:pStyle w:val="ad"/>
        <w:ind w:left="651" w:hanging="651"/>
        <w:rPr>
          <w:rFonts w:ascii="David" w:hAnsi="David" w:cs="David"/>
          <w:sz w:val="24"/>
          <w:szCs w:val="24"/>
        </w:rPr>
      </w:pPr>
    </w:p>
    <w:p w:rsidR="00120007" w:rsidRDefault="0039123E"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hint="cs"/>
          <w:sz w:val="24"/>
          <w:szCs w:val="24"/>
          <w:rtl/>
        </w:rPr>
        <w:t>יתר על כן קיימים</w:t>
      </w:r>
      <w:r w:rsidR="00120007">
        <w:rPr>
          <w:rFonts w:ascii="David" w:hAnsi="David" w:cs="David"/>
          <w:sz w:val="24"/>
          <w:szCs w:val="24"/>
          <w:rtl/>
        </w:rPr>
        <w:t xml:space="preserve"> 2 עדים שיכלו לתמוך לכאורה בגרסת התובעים, בני הדודים של התובע, אשר מצויים עימו בקשר והם לכאורה ידעו על עסקת החליפין, ומשהתובעים בחרו שלא להביאם לעדות, זה פועל לחובתם.</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הנתבעים טוענים כי גרסת התובעים לגבי השאלה מדוע לא נחתם הסכם ביניהם לבין המנוחה משתנה. בתחילה טענו כי לא ניתן היה להעביר את הזכויות בגלל המשכנתא. מעבר לכך שמדובר בהסבר לא הגיוני ולא סביר, לשיטת הנתבעים, התובעים שינו את גרסתם, כאשר טענו כי לא ניתן היה להעביר את הזכויות לפני הארכת זכות החכירה. ואם לא די בכך, התובעים, כך טוענים הנתבעים, שינו את גרסתם פעם נוספת, שלישית במספר, עת טענו כי לא ניתן היה להעביר את הזכויות בבית בשל מצבה הבריאותי של המנוחה.</w:t>
      </w:r>
    </w:p>
    <w:p w:rsidR="00120007" w:rsidRDefault="00120007" w:rsidP="00120007">
      <w:pPr>
        <w:pStyle w:val="ad"/>
        <w:ind w:left="651" w:hanging="651"/>
        <w:rPr>
          <w:rFonts w:ascii="David" w:hAnsi="David" w:cs="David"/>
          <w:sz w:val="24"/>
          <w:szCs w:val="24"/>
        </w:rPr>
      </w:pPr>
    </w:p>
    <w:p w:rsidR="00120007" w:rsidRDefault="00120007" w:rsidP="00DF0F1A">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גם לגבי שווי הבית ב</w:t>
      </w:r>
      <w:r w:rsidR="00EE0F14">
        <w:rPr>
          <w:rFonts w:ascii="David" w:hAnsi="David" w:cs="David"/>
          <w:sz w:val="24"/>
          <w:szCs w:val="24"/>
        </w:rPr>
        <w:t>xxx</w:t>
      </w:r>
      <w:r>
        <w:rPr>
          <w:rFonts w:ascii="David" w:hAnsi="David" w:cs="David"/>
          <w:sz w:val="24"/>
          <w:szCs w:val="24"/>
          <w:rtl/>
        </w:rPr>
        <w:t xml:space="preserve"> טוענים הנתבעים כי התובעים שינו את גרסאותיהם, ובכלל </w:t>
      </w:r>
      <w:r w:rsidRPr="00DF0F1A">
        <w:rPr>
          <w:rFonts w:ascii="David" w:hAnsi="David" w:cs="David"/>
          <w:sz w:val="24"/>
          <w:szCs w:val="24"/>
          <w:u w:val="single"/>
          <w:rtl/>
        </w:rPr>
        <w:t>לא</w:t>
      </w:r>
      <w:r>
        <w:rPr>
          <w:rFonts w:ascii="David" w:hAnsi="David" w:cs="David"/>
          <w:sz w:val="24"/>
          <w:szCs w:val="24"/>
          <w:rtl/>
        </w:rPr>
        <w:t xml:space="preserve"> תמכו את הסכומים, להם טענו, בסימוכין.</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לטענת הנתבעים התובעים נוהגים בדירה ב</w:t>
      </w:r>
      <w:r w:rsidR="00EE0F14">
        <w:rPr>
          <w:rFonts w:ascii="David" w:hAnsi="David" w:cs="David"/>
          <w:sz w:val="24"/>
          <w:szCs w:val="24"/>
        </w:rPr>
        <w:t>xxx</w:t>
      </w:r>
      <w:r>
        <w:rPr>
          <w:rFonts w:ascii="David" w:hAnsi="David" w:cs="David"/>
          <w:sz w:val="24"/>
          <w:szCs w:val="24"/>
          <w:rtl/>
        </w:rPr>
        <w:t>, מאז פטירת המנוחה, מנהג בעלים, משכירים אותה ושומרים לידיהם את דמי השכירות. וכך נוהגים התובעים בקשר לדירה ב</w:t>
      </w:r>
      <w:r w:rsidR="00EE0F14">
        <w:rPr>
          <w:rFonts w:ascii="David" w:hAnsi="David" w:cs="David"/>
          <w:sz w:val="24"/>
          <w:szCs w:val="24"/>
        </w:rPr>
        <w:t>xxx</w:t>
      </w:r>
      <w:r>
        <w:rPr>
          <w:rFonts w:ascii="David" w:hAnsi="David" w:cs="David"/>
          <w:sz w:val="24"/>
          <w:szCs w:val="24"/>
          <w:rtl/>
        </w:rPr>
        <w:t>, שלטענתם היא שייכת גם לנתבעים.</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לטענת הנתבעים התובעים לא הביאו שום ראיה אשר תומכת בטענתם כי הנתבעים ידעו על העסקה והסכימו לה. יתרה על כך, גם בחקירתם של הנתבעים, לא נשאלו על כך, מה שמעיד שאין בסיס לטענה זו.</w:t>
      </w:r>
    </w:p>
    <w:p w:rsidR="00120007" w:rsidRDefault="00120007" w:rsidP="00120007">
      <w:pPr>
        <w:pStyle w:val="ad"/>
        <w:ind w:left="651" w:hanging="651"/>
        <w:rPr>
          <w:rFonts w:ascii="David" w:hAnsi="David" w:cs="David"/>
          <w:sz w:val="24"/>
          <w:szCs w:val="24"/>
        </w:rPr>
      </w:pPr>
    </w:p>
    <w:p w:rsidR="00120007" w:rsidRDefault="00120007" w:rsidP="0039123E">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לסיכום, עותרים הנתבעים לדחות את תביעת התובעים ולהורות כי הנתבעים זכאים ל- 78% מהזכויות בבית ב</w:t>
      </w:r>
      <w:r w:rsidR="00EE0F14">
        <w:rPr>
          <w:rFonts w:ascii="David" w:hAnsi="David" w:cs="David"/>
          <w:sz w:val="24"/>
          <w:szCs w:val="24"/>
        </w:rPr>
        <w:t>xxx</w:t>
      </w:r>
      <w:r>
        <w:rPr>
          <w:rFonts w:ascii="David" w:hAnsi="David" w:cs="David"/>
          <w:sz w:val="24"/>
          <w:szCs w:val="24"/>
          <w:rtl/>
        </w:rPr>
        <w:t>, בחלקים המפורטים בסעיף 5.1 לסיכומיהם, המובאים לעיל. וכן, לקבל את תביעתם לפירוק שיתוף ולהורות על מכירת הבית ב</w:t>
      </w:r>
      <w:r w:rsidR="00EE0F14">
        <w:rPr>
          <w:rFonts w:ascii="David" w:hAnsi="David" w:cs="David"/>
          <w:sz w:val="24"/>
          <w:szCs w:val="24"/>
        </w:rPr>
        <w:t>xxx</w:t>
      </w:r>
      <w:r>
        <w:rPr>
          <w:rFonts w:ascii="David" w:hAnsi="David" w:cs="David"/>
          <w:sz w:val="24"/>
          <w:szCs w:val="24"/>
          <w:rtl/>
        </w:rPr>
        <w:t xml:space="preserve"> בשוק החופשי, למרבה במחיר, וחלוקת תמורתו</w:t>
      </w:r>
      <w:r w:rsidR="0039123E">
        <w:rPr>
          <w:rFonts w:ascii="David" w:hAnsi="David" w:cs="David" w:hint="cs"/>
          <w:sz w:val="24"/>
          <w:szCs w:val="24"/>
          <w:rtl/>
        </w:rPr>
        <w:t xml:space="preserve"> ליורשים על פי חלקם</w:t>
      </w:r>
      <w:r>
        <w:rPr>
          <w:rFonts w:ascii="David" w:hAnsi="David" w:cs="David"/>
          <w:sz w:val="24"/>
          <w:szCs w:val="24"/>
          <w:rtl/>
        </w:rPr>
        <w:t>.</w:t>
      </w:r>
    </w:p>
    <w:p w:rsidR="00120007" w:rsidRDefault="00120007" w:rsidP="00120007">
      <w:pPr>
        <w:pStyle w:val="ad"/>
        <w:ind w:left="651" w:hanging="651"/>
        <w:rPr>
          <w:rFonts w:ascii="David" w:hAnsi="David" w:cs="David"/>
          <w:sz w:val="24"/>
          <w:szCs w:val="24"/>
        </w:rPr>
      </w:pPr>
    </w:p>
    <w:p w:rsidR="00120007" w:rsidRPr="0039123E" w:rsidRDefault="00120007" w:rsidP="00B6639E">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לצורך ביצוע פירוק השיתוף עותרים הנתבעים למנות את ב"כ ככונס נכסים, תוך תשלום כל ההוצאות הכרוכות במכירתו של הבית ב</w:t>
      </w:r>
      <w:r w:rsidR="00EE0F14">
        <w:rPr>
          <w:rFonts w:ascii="David" w:hAnsi="David" w:cs="David"/>
          <w:sz w:val="24"/>
          <w:szCs w:val="24"/>
        </w:rPr>
        <w:t>xxx</w:t>
      </w:r>
      <w:r>
        <w:rPr>
          <w:rFonts w:ascii="David" w:hAnsi="David" w:cs="David"/>
          <w:sz w:val="24"/>
          <w:szCs w:val="24"/>
          <w:rtl/>
        </w:rPr>
        <w:t xml:space="preserve"> לרבות דיווח לרשויות על המכירה, תשלומי מיסים, ופינוי כל מבנה, </w:t>
      </w:r>
      <w:r w:rsidR="00B6639E" w:rsidRPr="0039123E">
        <w:rPr>
          <w:rFonts w:ascii="David" w:hAnsi="David" w:cs="David" w:hint="cs"/>
          <w:sz w:val="24"/>
          <w:szCs w:val="24"/>
          <w:rtl/>
        </w:rPr>
        <w:t>וחלוקת יתרת התמורה בין הצדדים בהתאם לחלקיות היחסית בירושת המנוחה (סעיף 17.5 לסיכומי הנתבעים)</w:t>
      </w:r>
      <w:r w:rsidRPr="0039123E">
        <w:rPr>
          <w:rFonts w:ascii="David" w:hAnsi="David" w:cs="David"/>
          <w:sz w:val="24"/>
          <w:szCs w:val="24"/>
          <w:rtl/>
        </w:rPr>
        <w:t>.</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 xml:space="preserve">הנתבעים אף עותרים לחיוב התובעים בהוצאות משפט לדוגמא, שישקפו את הדרך בה בחרו התובעים לנהל את ההליך המשפטי, חסר הסיכוי, ולאורך זמן רב (3 שנים – 7 דיונים), בסך שלא פחות מ- 70,000 ₪ בצירוף מע"מ. </w:t>
      </w:r>
    </w:p>
    <w:p w:rsidR="00120007" w:rsidRDefault="00120007" w:rsidP="00120007">
      <w:pPr>
        <w:spacing w:line="360" w:lineRule="auto"/>
        <w:ind w:left="651" w:hanging="651"/>
        <w:jc w:val="both"/>
        <w:rPr>
          <w:rFonts w:ascii="David" w:hAnsi="David"/>
          <w:b/>
          <w:bCs/>
          <w:sz w:val="26"/>
          <w:szCs w:val="26"/>
          <w:u w:val="single"/>
          <w:rtl/>
        </w:rPr>
      </w:pPr>
      <w:r>
        <w:rPr>
          <w:rFonts w:ascii="David" w:hAnsi="David"/>
          <w:b/>
          <w:bCs/>
          <w:sz w:val="26"/>
          <w:szCs w:val="26"/>
          <w:u w:val="single"/>
          <w:rtl/>
        </w:rPr>
        <w:t xml:space="preserve">מתווה נורמטיבי </w:t>
      </w:r>
    </w:p>
    <w:p w:rsidR="0039123E" w:rsidRDefault="0039123E" w:rsidP="0039123E">
      <w:pPr>
        <w:ind w:left="651" w:hanging="651"/>
        <w:jc w:val="both"/>
        <w:rPr>
          <w:rFonts w:ascii="David" w:hAnsi="David"/>
          <w:b/>
          <w:bCs/>
          <w:sz w:val="26"/>
          <w:szCs w:val="26"/>
          <w:u w:val="single"/>
          <w:rtl/>
        </w:rPr>
      </w:pPr>
    </w:p>
    <w:p w:rsidR="00120007" w:rsidRDefault="00120007" w:rsidP="0029113D">
      <w:pPr>
        <w:pStyle w:val="ad"/>
        <w:numPr>
          <w:ilvl w:val="0"/>
          <w:numId w:val="1"/>
        </w:numPr>
        <w:spacing w:line="360" w:lineRule="auto"/>
        <w:ind w:left="651" w:hanging="651"/>
        <w:jc w:val="both"/>
        <w:rPr>
          <w:rFonts w:ascii="David" w:hAnsi="David" w:cs="David"/>
          <w:sz w:val="24"/>
          <w:szCs w:val="24"/>
        </w:rPr>
      </w:pPr>
      <w:r>
        <w:rPr>
          <w:rFonts w:ascii="David" w:hAnsi="David" w:cs="David"/>
          <w:sz w:val="24"/>
          <w:szCs w:val="24"/>
          <w:rtl/>
        </w:rPr>
        <w:t>סעיף 6 לחוק המקרקעין</w:t>
      </w:r>
      <w:r>
        <w:rPr>
          <w:rFonts w:ascii="David" w:hAnsi="David" w:cs="David"/>
          <w:sz w:val="24"/>
          <w:szCs w:val="24"/>
        </w:rPr>
        <w:t xml:space="preserve"> </w:t>
      </w:r>
      <w:r>
        <w:rPr>
          <w:rFonts w:ascii="David" w:hAnsi="David" w:cs="David"/>
          <w:sz w:val="24"/>
          <w:szCs w:val="24"/>
          <w:rtl/>
        </w:rPr>
        <w:t>תשכ"ט-1969</w:t>
      </w:r>
      <w:r>
        <w:rPr>
          <w:rFonts w:ascii="David" w:hAnsi="David" w:cs="David"/>
          <w:b/>
          <w:bCs/>
          <w:sz w:val="24"/>
          <w:szCs w:val="24"/>
        </w:rPr>
        <w:t xml:space="preserve"> </w:t>
      </w:r>
      <w:r>
        <w:rPr>
          <w:rFonts w:ascii="David" w:hAnsi="David" w:cs="David"/>
          <w:b/>
          <w:bCs/>
          <w:sz w:val="24"/>
          <w:szCs w:val="24"/>
          <w:rtl/>
        </w:rPr>
        <w:t xml:space="preserve"> (להלן: "החוק "</w:t>
      </w:r>
      <w:r>
        <w:rPr>
          <w:rFonts w:ascii="David" w:hAnsi="David" w:cs="David"/>
          <w:sz w:val="24"/>
          <w:szCs w:val="24"/>
        </w:rPr>
        <w:t xml:space="preserve"> (</w:t>
      </w:r>
      <w:r>
        <w:rPr>
          <w:rFonts w:ascii="David" w:hAnsi="David" w:cs="David"/>
          <w:sz w:val="24"/>
          <w:szCs w:val="24"/>
          <w:rtl/>
        </w:rPr>
        <w:t>קובע כי "</w:t>
      </w:r>
      <w:r>
        <w:rPr>
          <w:rFonts w:ascii="David" w:hAnsi="David" w:cs="David"/>
          <w:b/>
          <w:bCs/>
          <w:sz w:val="24"/>
          <w:szCs w:val="24"/>
          <w:rtl/>
        </w:rPr>
        <w:t>עסקה במקרקעין היא הקניה של בעלות או של זכות אחרת במקרקעין לפי רצון המקנה, למעט הורשה על פי צוואה</w:t>
      </w:r>
      <w:r>
        <w:rPr>
          <w:rFonts w:ascii="David" w:hAnsi="David" w:cs="David"/>
          <w:sz w:val="24"/>
          <w:szCs w:val="24"/>
          <w:rtl/>
        </w:rPr>
        <w:t>".</w:t>
      </w:r>
    </w:p>
    <w:p w:rsidR="0029113D" w:rsidRDefault="0029113D" w:rsidP="0029113D">
      <w:pPr>
        <w:pStyle w:val="ad"/>
        <w:spacing w:line="240" w:lineRule="auto"/>
        <w:ind w:left="651"/>
        <w:jc w:val="both"/>
        <w:rPr>
          <w:rFonts w:ascii="David" w:hAnsi="David" w:cs="David"/>
          <w:sz w:val="24"/>
          <w:szCs w:val="24"/>
          <w:rtl/>
        </w:rPr>
      </w:pPr>
    </w:p>
    <w:p w:rsidR="00120007" w:rsidRDefault="00120007" w:rsidP="0029113D">
      <w:pPr>
        <w:pStyle w:val="ad"/>
        <w:numPr>
          <w:ilvl w:val="0"/>
          <w:numId w:val="1"/>
        </w:numPr>
        <w:spacing w:after="0" w:line="360" w:lineRule="auto"/>
        <w:ind w:left="651" w:hanging="651"/>
        <w:jc w:val="both"/>
        <w:rPr>
          <w:rFonts w:ascii="David" w:hAnsi="David" w:cs="David"/>
          <w:b/>
          <w:bCs/>
          <w:sz w:val="24"/>
          <w:szCs w:val="24"/>
        </w:rPr>
      </w:pPr>
      <w:r>
        <w:rPr>
          <w:rFonts w:ascii="David" w:hAnsi="David" w:cs="David"/>
          <w:sz w:val="24"/>
          <w:szCs w:val="24"/>
          <w:rtl/>
        </w:rPr>
        <w:t xml:space="preserve">סעיף 7 קובע </w:t>
      </w:r>
      <w:r>
        <w:rPr>
          <w:rFonts w:ascii="David" w:hAnsi="David" w:cs="David"/>
          <w:b/>
          <w:bCs/>
          <w:sz w:val="24"/>
          <w:szCs w:val="24"/>
          <w:rtl/>
        </w:rPr>
        <w:t>עסקה במקרקעין טעונה רישום; העסקה נגמרת ברישום, ועסקה שלא נגמרה ברישום רואים אותה כהתחייבות לעשות עסקה.</w:t>
      </w:r>
    </w:p>
    <w:p w:rsidR="00120007" w:rsidRPr="0029113D" w:rsidRDefault="00120007" w:rsidP="0029113D">
      <w:pPr>
        <w:pStyle w:val="ad"/>
        <w:spacing w:line="240" w:lineRule="auto"/>
        <w:ind w:left="651" w:hanging="651"/>
        <w:jc w:val="both"/>
        <w:rPr>
          <w:rFonts w:ascii="David" w:hAnsi="David" w:cs="David"/>
          <w:sz w:val="24"/>
          <w:szCs w:val="24"/>
          <w:rtl/>
        </w:rPr>
      </w:pPr>
    </w:p>
    <w:p w:rsidR="00120007" w:rsidRDefault="00120007" w:rsidP="00120007">
      <w:pPr>
        <w:pStyle w:val="ad"/>
        <w:numPr>
          <w:ilvl w:val="0"/>
          <w:numId w:val="1"/>
        </w:numPr>
        <w:spacing w:line="360" w:lineRule="auto"/>
        <w:ind w:left="651" w:hanging="651"/>
        <w:jc w:val="both"/>
        <w:rPr>
          <w:rFonts w:ascii="David" w:hAnsi="David" w:cs="David"/>
          <w:sz w:val="24"/>
          <w:szCs w:val="24"/>
        </w:rPr>
      </w:pPr>
      <w:r>
        <w:rPr>
          <w:rFonts w:ascii="David" w:hAnsi="David" w:cs="David"/>
          <w:sz w:val="24"/>
          <w:szCs w:val="24"/>
          <w:rtl/>
        </w:rPr>
        <w:t>סעיף 8 לחוק קובע כי "</w:t>
      </w:r>
      <w:r>
        <w:rPr>
          <w:rFonts w:ascii="David" w:hAnsi="David" w:cs="David"/>
          <w:b/>
          <w:bCs/>
          <w:sz w:val="24"/>
          <w:szCs w:val="24"/>
          <w:rtl/>
        </w:rPr>
        <w:t>התחייבות לעשות עסקה במקרקעין טעונה מסמך בכתב</w:t>
      </w:r>
      <w:r>
        <w:rPr>
          <w:rFonts w:ascii="David" w:hAnsi="David" w:cs="David"/>
          <w:sz w:val="24"/>
          <w:szCs w:val="24"/>
          <w:rtl/>
        </w:rPr>
        <w:t>".</w:t>
      </w:r>
    </w:p>
    <w:p w:rsidR="00120007" w:rsidRDefault="00120007" w:rsidP="0039123E">
      <w:pPr>
        <w:pStyle w:val="ad"/>
        <w:spacing w:line="240" w:lineRule="auto"/>
        <w:ind w:left="651" w:hanging="651"/>
        <w:jc w:val="both"/>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Pr>
      </w:pPr>
      <w:r>
        <w:rPr>
          <w:rFonts w:ascii="David" w:hAnsi="David" w:cs="David"/>
          <w:sz w:val="24"/>
          <w:szCs w:val="24"/>
          <w:rtl/>
        </w:rPr>
        <w:t>עסקת חליפין יכולה להיכנס בגדר סעיף 6 לחוק, אולם לא לבדה, שהרי סעיף 7 לחוק קובע כי עסקה במקרקעין טעונה רישום ואילו סעיף 8 לחוק קובע כי עסקה שלא נגמרה ברישום רואים אותה כהתחייבות לעשות עסקה, וגם זו טעונה מסמך בכתב.</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 xml:space="preserve">סעיף 125 לחוק קובע כי </w:t>
      </w:r>
      <w:r>
        <w:rPr>
          <w:rFonts w:ascii="David" w:hAnsi="David" w:cs="David"/>
          <w:b/>
          <w:bCs/>
          <w:sz w:val="24"/>
          <w:szCs w:val="24"/>
          <w:rtl/>
        </w:rPr>
        <w:t>רישום לגבי מקרקעין מוסדרים יהווה ראיה חותכת לתוכנו</w:t>
      </w:r>
      <w:r>
        <w:rPr>
          <w:rFonts w:ascii="David" w:hAnsi="David" w:cs="David"/>
          <w:sz w:val="24"/>
          <w:szCs w:val="24"/>
          <w:rtl/>
        </w:rPr>
        <w:t>.</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lastRenderedPageBreak/>
        <w:t>ההלכה היא, שהנטל לסתירת חזקת הבעלות העולה מהרישום והוכחה כי הרישום של הזכויות אינו משקף את מצב הדברים האמיתי, הוא נטל כבד מאוד (ע"א 2576/03 </w:t>
      </w:r>
      <w:r>
        <w:rPr>
          <w:rFonts w:ascii="David" w:hAnsi="David" w:cs="David"/>
          <w:b/>
          <w:bCs/>
          <w:sz w:val="24"/>
          <w:szCs w:val="24"/>
          <w:rtl/>
        </w:rPr>
        <w:t>אהובה וינברג נ' האפוטרופוס לנכסי נפקדים</w:t>
      </w:r>
      <w:r>
        <w:rPr>
          <w:rFonts w:ascii="David" w:hAnsi="David" w:cs="David"/>
          <w:sz w:val="24"/>
          <w:szCs w:val="24"/>
        </w:rPr>
        <w:t xml:space="preserve">(1.2.2006) </w:t>
      </w:r>
      <w:r>
        <w:rPr>
          <w:rFonts w:ascii="David" w:hAnsi="David" w:cs="David"/>
          <w:sz w:val="24"/>
          <w:szCs w:val="24"/>
          <w:rtl/>
        </w:rPr>
        <w:t>.</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בענייננו אין מחלוקת כי הבית ב</w:t>
      </w:r>
      <w:r w:rsidR="00EE0F14">
        <w:rPr>
          <w:rFonts w:ascii="David" w:hAnsi="David" w:cs="David"/>
          <w:sz w:val="24"/>
          <w:szCs w:val="24"/>
        </w:rPr>
        <w:t>xxx</w:t>
      </w:r>
      <w:r>
        <w:rPr>
          <w:rFonts w:ascii="David" w:hAnsi="David" w:cs="David"/>
          <w:sz w:val="24"/>
          <w:szCs w:val="24"/>
          <w:rtl/>
        </w:rPr>
        <w:t xml:space="preserve"> אינו רשום על התובעים, כך שהנטל המוטל על התובעים להוכיח, כי חרף הרישום על שם המנוחה הבית ב</w:t>
      </w:r>
      <w:r w:rsidR="00EE0F14">
        <w:rPr>
          <w:rFonts w:ascii="David" w:hAnsi="David" w:cs="David"/>
          <w:sz w:val="24"/>
          <w:szCs w:val="24"/>
        </w:rPr>
        <w:t>xxx</w:t>
      </w:r>
      <w:r>
        <w:rPr>
          <w:rFonts w:ascii="David" w:hAnsi="David" w:cs="David"/>
          <w:sz w:val="24"/>
          <w:szCs w:val="24"/>
          <w:rtl/>
        </w:rPr>
        <w:t xml:space="preserve"> הינו שלהם, גבוה.</w:t>
      </w:r>
    </w:p>
    <w:p w:rsidR="00120007" w:rsidRDefault="00120007" w:rsidP="00120007">
      <w:pPr>
        <w:spacing w:line="360" w:lineRule="auto"/>
        <w:ind w:left="651" w:hanging="651"/>
        <w:jc w:val="both"/>
        <w:rPr>
          <w:rFonts w:ascii="David" w:hAnsi="David"/>
          <w:b/>
          <w:bCs/>
          <w:sz w:val="26"/>
          <w:szCs w:val="26"/>
          <w:u w:val="single"/>
          <w:rtl/>
        </w:rPr>
      </w:pPr>
      <w:r>
        <w:rPr>
          <w:rFonts w:ascii="David" w:hAnsi="David"/>
          <w:b/>
          <w:bCs/>
          <w:sz w:val="26"/>
          <w:szCs w:val="26"/>
          <w:u w:val="single"/>
          <w:rtl/>
        </w:rPr>
        <w:t>דיון והכרעה</w:t>
      </w:r>
    </w:p>
    <w:p w:rsidR="0039123E" w:rsidRDefault="0039123E" w:rsidP="0039123E">
      <w:pPr>
        <w:ind w:left="651" w:hanging="651"/>
        <w:jc w:val="both"/>
        <w:rPr>
          <w:rFonts w:ascii="David" w:hAnsi="David"/>
          <w:b/>
          <w:bCs/>
          <w:sz w:val="26"/>
          <w:szCs w:val="26"/>
          <w:u w:val="single"/>
          <w:rtl/>
        </w:rPr>
      </w:pPr>
    </w:p>
    <w:p w:rsidR="00120007" w:rsidRDefault="00120007" w:rsidP="0019174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על פי גרסת התובעים עסקינן בעסקת חליפין שבוצעה עוד בשנ</w:t>
      </w:r>
      <w:r w:rsidRPr="00191747">
        <w:rPr>
          <w:rFonts w:ascii="David" w:hAnsi="David" w:cs="David"/>
          <w:sz w:val="24"/>
          <w:szCs w:val="24"/>
          <w:rtl/>
        </w:rPr>
        <w:t xml:space="preserve">ת </w:t>
      </w:r>
      <w:r w:rsidR="00191747" w:rsidRPr="00191747">
        <w:rPr>
          <w:rFonts w:ascii="David" w:hAnsi="David" w:cs="David" w:hint="cs"/>
          <w:sz w:val="24"/>
          <w:szCs w:val="24"/>
          <w:rtl/>
        </w:rPr>
        <w:t>1994</w:t>
      </w:r>
      <w:r w:rsidRPr="00191747">
        <w:rPr>
          <w:rFonts w:ascii="David" w:hAnsi="David" w:cs="David"/>
          <w:sz w:val="24"/>
          <w:szCs w:val="24"/>
          <w:rtl/>
        </w:rPr>
        <w:t>, לפ</w:t>
      </w:r>
      <w:r>
        <w:rPr>
          <w:rFonts w:ascii="David" w:hAnsi="David" w:cs="David"/>
          <w:sz w:val="24"/>
          <w:szCs w:val="24"/>
          <w:rtl/>
        </w:rPr>
        <w:t>יה המנוחה העבירה את זכויותיה בבית ב</w:t>
      </w:r>
      <w:r w:rsidR="00EE0F14">
        <w:rPr>
          <w:rFonts w:ascii="David" w:hAnsi="David" w:cs="David"/>
          <w:sz w:val="24"/>
          <w:szCs w:val="24"/>
        </w:rPr>
        <w:t>xxx</w:t>
      </w:r>
      <w:r>
        <w:rPr>
          <w:rFonts w:ascii="David" w:hAnsi="David" w:cs="David"/>
          <w:sz w:val="24"/>
          <w:szCs w:val="24"/>
          <w:rtl/>
        </w:rPr>
        <w:t xml:space="preserve"> לידיהם והם בתמורה העבירו את זכויותיהם בדירה ב</w:t>
      </w:r>
      <w:r w:rsidR="00EE0F14">
        <w:rPr>
          <w:rFonts w:ascii="David" w:hAnsi="David" w:cs="David"/>
          <w:sz w:val="24"/>
          <w:szCs w:val="24"/>
        </w:rPr>
        <w:t>xxx</w:t>
      </w:r>
      <w:r>
        <w:rPr>
          <w:rFonts w:ascii="David" w:hAnsi="David" w:cs="David"/>
          <w:sz w:val="24"/>
          <w:szCs w:val="24"/>
          <w:rtl/>
        </w:rPr>
        <w:t xml:space="preserve"> לטובתה.</w:t>
      </w:r>
    </w:p>
    <w:p w:rsidR="00120007" w:rsidRDefault="00120007" w:rsidP="0039123E">
      <w:pPr>
        <w:pStyle w:val="ad"/>
        <w:spacing w:line="240" w:lineRule="auto"/>
        <w:ind w:left="651" w:hanging="651"/>
        <w:jc w:val="both"/>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Pr>
      </w:pPr>
      <w:r>
        <w:rPr>
          <w:rFonts w:ascii="David" w:hAnsi="David" w:cs="David"/>
          <w:sz w:val="24"/>
          <w:szCs w:val="24"/>
          <w:rtl/>
        </w:rPr>
        <w:t>בענייננו אין מחלוקת שהעסקה לא נגמרה ברישום ועל כן יש לראותה כהתחייבות לעשות עסקה במקרקעין, שגם זו כאמור בחוק טעונה מסמך בכתב.</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התובע הודה כי לא קיים כל מסמך בכתב בקשר לעסקת החליפין, אולם לטענתו המקרה דנן נופל בין החריגים המצדיקים סטייה מדרישת הכתב.</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לפיכך אבחן את טענות התובעים תחת המטריה של חריגים המצדיקים סטייה מדרישת הכתב.</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b/>
          <w:bCs/>
          <w:sz w:val="24"/>
          <w:szCs w:val="24"/>
          <w:u w:val="single"/>
          <w:rtl/>
        </w:rPr>
        <w:t>התובעים סמכו על הנתבעים</w:t>
      </w:r>
      <w:r>
        <w:rPr>
          <w:rFonts w:ascii="David" w:hAnsi="David" w:cs="David"/>
          <w:sz w:val="24"/>
          <w:szCs w:val="24"/>
          <w:rtl/>
        </w:rPr>
        <w:t xml:space="preserve"> – לטענת התובעים בשל קשרי המשפחה הטובים, שהיו ביניהם במהלך השנים, הם לא סברו כי יש לבצע רישום של עסקה אשר ידועה ומוסכמת עליהם. התובע שב וחזר בעדותו כי סמך על האחים שלו ואף הגדיל ואמר "</w:t>
      </w:r>
      <w:r>
        <w:rPr>
          <w:rFonts w:ascii="David" w:hAnsi="David" w:cs="David"/>
          <w:b/>
          <w:bCs/>
          <w:sz w:val="24"/>
          <w:szCs w:val="24"/>
          <w:rtl/>
        </w:rPr>
        <w:t>בעיניים עצומות</w:t>
      </w:r>
      <w:r>
        <w:rPr>
          <w:rFonts w:ascii="David" w:hAnsi="David" w:cs="David"/>
          <w:sz w:val="24"/>
          <w:szCs w:val="24"/>
          <w:rtl/>
        </w:rPr>
        <w:t>" כדלהלן:</w:t>
      </w:r>
    </w:p>
    <w:p w:rsidR="00120007" w:rsidRDefault="00120007" w:rsidP="00120007">
      <w:pPr>
        <w:pStyle w:val="ad"/>
        <w:rPr>
          <w:rFonts w:ascii="David" w:hAnsi="David" w:cs="David"/>
          <w:sz w:val="24"/>
          <w:szCs w:val="24"/>
        </w:rPr>
      </w:pPr>
    </w:p>
    <w:p w:rsidR="00120007" w:rsidRDefault="00120007" w:rsidP="00120007">
      <w:pPr>
        <w:pStyle w:val="ad"/>
        <w:spacing w:line="360" w:lineRule="auto"/>
        <w:ind w:left="651"/>
        <w:jc w:val="both"/>
        <w:rPr>
          <w:rFonts w:ascii="David" w:hAnsi="David" w:cs="David"/>
          <w:b/>
          <w:bCs/>
          <w:sz w:val="24"/>
          <w:szCs w:val="24"/>
          <w:rtl/>
        </w:rPr>
      </w:pPr>
      <w:r>
        <w:rPr>
          <w:rFonts w:ascii="David" w:hAnsi="David" w:cs="David"/>
          <w:b/>
          <w:bCs/>
          <w:sz w:val="24"/>
          <w:szCs w:val="24"/>
          <w:rtl/>
        </w:rPr>
        <w:t>"ש. תן לי לתקן אותך לא רק שהתייחסת אלא אמרת במפורש לא צריך אני סומך על האחים שלי הם יודעים ש</w:t>
      </w:r>
      <w:r w:rsidR="00EE0F14">
        <w:rPr>
          <w:rFonts w:ascii="David" w:hAnsi="David" w:cs="David"/>
          <w:b/>
          <w:bCs/>
          <w:sz w:val="24"/>
          <w:szCs w:val="24"/>
          <w:rtl/>
        </w:rPr>
        <w:t>הבית עבר אלי, אומרת את  זה א</w:t>
      </w:r>
      <w:r w:rsidR="00EE0F14">
        <w:rPr>
          <w:rFonts w:ascii="David" w:hAnsi="David" w:cs="David" w:hint="cs"/>
          <w:b/>
          <w:bCs/>
          <w:sz w:val="24"/>
          <w:szCs w:val="24"/>
          <w:rtl/>
        </w:rPr>
        <w:t>'</w:t>
      </w:r>
      <w:r>
        <w:rPr>
          <w:rFonts w:ascii="David" w:hAnsi="David" w:cs="David"/>
          <w:b/>
          <w:bCs/>
          <w:sz w:val="24"/>
          <w:szCs w:val="24"/>
          <w:rtl/>
        </w:rPr>
        <w:t xml:space="preserve"> שאומרת שאמרת את זה, זה נכון?</w:t>
      </w:r>
    </w:p>
    <w:p w:rsidR="00120007" w:rsidRDefault="00120007" w:rsidP="00120007">
      <w:pPr>
        <w:pStyle w:val="ad"/>
        <w:spacing w:line="360" w:lineRule="auto"/>
        <w:ind w:left="651"/>
        <w:jc w:val="both"/>
        <w:rPr>
          <w:rFonts w:ascii="David" w:hAnsi="David" w:cs="David"/>
          <w:b/>
          <w:bCs/>
          <w:sz w:val="24"/>
          <w:szCs w:val="24"/>
          <w:rtl/>
        </w:rPr>
      </w:pPr>
      <w:r>
        <w:rPr>
          <w:rFonts w:ascii="David" w:hAnsi="David" w:cs="David"/>
          <w:b/>
          <w:bCs/>
          <w:sz w:val="24"/>
          <w:szCs w:val="24"/>
          <w:rtl/>
        </w:rPr>
        <w:t>ת. אם עניתי לה שאני סומך על האחים שלי אני משיב שכן. סומך על האחים שלי בעניינים עצומות"(</w:t>
      </w:r>
      <w:r>
        <w:rPr>
          <w:rFonts w:ascii="David" w:hAnsi="David" w:cs="David"/>
          <w:sz w:val="24"/>
          <w:szCs w:val="24"/>
          <w:rtl/>
        </w:rPr>
        <w:t xml:space="preserve"> </w:t>
      </w:r>
      <w:r w:rsidR="00D518D4">
        <w:rPr>
          <w:rFonts w:ascii="David" w:hAnsi="David" w:cs="David" w:hint="cs"/>
          <w:sz w:val="24"/>
          <w:szCs w:val="24"/>
          <w:rtl/>
        </w:rPr>
        <w:t xml:space="preserve">ראו: </w:t>
      </w:r>
      <w:r w:rsidRPr="00D518D4">
        <w:rPr>
          <w:rFonts w:ascii="David" w:hAnsi="David" w:cs="David"/>
          <w:sz w:val="24"/>
          <w:szCs w:val="24"/>
          <w:rtl/>
        </w:rPr>
        <w:t>פרוטוקול דיון מיום 8.1.23 עמוד 45 שורות 9-10</w:t>
      </w:r>
      <w:r>
        <w:rPr>
          <w:rFonts w:ascii="David" w:hAnsi="David" w:cs="David"/>
          <w:sz w:val="24"/>
          <w:szCs w:val="24"/>
          <w:rtl/>
        </w:rPr>
        <w:t>).</w:t>
      </w:r>
    </w:p>
    <w:p w:rsidR="00120007" w:rsidRDefault="00120007" w:rsidP="00120007">
      <w:pPr>
        <w:pStyle w:val="ad"/>
        <w:ind w:left="651" w:hanging="651"/>
        <w:rPr>
          <w:rFonts w:ascii="David" w:hAnsi="David" w:cs="David"/>
          <w:sz w:val="24"/>
          <w:szCs w:val="24"/>
        </w:rPr>
      </w:pPr>
    </w:p>
    <w:p w:rsidR="0039123E" w:rsidRDefault="00120007" w:rsidP="0039123E">
      <w:pPr>
        <w:pStyle w:val="ad"/>
        <w:numPr>
          <w:ilvl w:val="0"/>
          <w:numId w:val="1"/>
        </w:numPr>
        <w:spacing w:line="360" w:lineRule="auto"/>
        <w:ind w:left="651" w:hanging="651"/>
        <w:jc w:val="both"/>
        <w:rPr>
          <w:rFonts w:ascii="David" w:hAnsi="David" w:cs="David"/>
          <w:sz w:val="24"/>
          <w:szCs w:val="24"/>
        </w:rPr>
      </w:pPr>
      <w:r>
        <w:rPr>
          <w:rFonts w:ascii="David" w:hAnsi="David" w:cs="David"/>
          <w:sz w:val="24"/>
          <w:szCs w:val="24"/>
          <w:rtl/>
        </w:rPr>
        <w:t>מנגד, הנתבע 1 העיד כי "</w:t>
      </w:r>
      <w:r>
        <w:rPr>
          <w:rFonts w:ascii="David" w:hAnsi="David" w:cs="David"/>
          <w:b/>
          <w:bCs/>
          <w:sz w:val="24"/>
          <w:szCs w:val="24"/>
          <w:rtl/>
        </w:rPr>
        <w:t>אנחנו בתור משפחה לא נכנסנו אחד לקרביים של השני, אמא רצתה ככה עשתה ככה, לא נכנסנו.... כיבדנו את האמא כיבדנו את האח וזה מה שהיה</w:t>
      </w:r>
      <w:r>
        <w:rPr>
          <w:rFonts w:ascii="David" w:hAnsi="David" w:cs="David"/>
          <w:sz w:val="24"/>
          <w:szCs w:val="24"/>
          <w:rtl/>
        </w:rPr>
        <w:t xml:space="preserve">..." </w:t>
      </w:r>
      <w:r w:rsidRPr="00D518D4">
        <w:rPr>
          <w:rFonts w:ascii="David" w:hAnsi="David" w:cs="David"/>
          <w:sz w:val="24"/>
          <w:szCs w:val="24"/>
          <w:rtl/>
        </w:rPr>
        <w:t>(</w:t>
      </w:r>
      <w:r w:rsidR="0039123E">
        <w:rPr>
          <w:rFonts w:ascii="David" w:hAnsi="David" w:cs="David" w:hint="cs"/>
          <w:sz w:val="24"/>
          <w:szCs w:val="24"/>
          <w:rtl/>
        </w:rPr>
        <w:t>ראו פ</w:t>
      </w:r>
      <w:r w:rsidRPr="00D518D4">
        <w:rPr>
          <w:rFonts w:ascii="David" w:hAnsi="David" w:cs="David"/>
          <w:sz w:val="24"/>
          <w:szCs w:val="24"/>
          <w:rtl/>
        </w:rPr>
        <w:t>רוטוקול דיון מיום 1.3.23 עמוד 65 שורות 7-11)</w:t>
      </w:r>
      <w:r>
        <w:rPr>
          <w:rFonts w:ascii="David" w:hAnsi="David" w:cs="David"/>
          <w:sz w:val="24"/>
          <w:szCs w:val="24"/>
          <w:rtl/>
        </w:rPr>
        <w:t>, ובהמשך, כשנשאל אם היו משפחה קרובה כל השנים, השיב "</w:t>
      </w:r>
      <w:r>
        <w:rPr>
          <w:rFonts w:ascii="David" w:hAnsi="David" w:cs="David"/>
          <w:b/>
          <w:bCs/>
          <w:sz w:val="24"/>
          <w:szCs w:val="24"/>
          <w:rtl/>
        </w:rPr>
        <w:t>פחות או יותר</w:t>
      </w:r>
      <w:r>
        <w:rPr>
          <w:rFonts w:ascii="David" w:hAnsi="David" w:cs="David"/>
          <w:sz w:val="24"/>
          <w:szCs w:val="24"/>
          <w:rtl/>
        </w:rPr>
        <w:t xml:space="preserve">" </w:t>
      </w:r>
      <w:r w:rsidRPr="00D518D4">
        <w:rPr>
          <w:rFonts w:ascii="David" w:hAnsi="David" w:cs="David"/>
          <w:sz w:val="24"/>
          <w:szCs w:val="24"/>
          <w:rtl/>
        </w:rPr>
        <w:t>(</w:t>
      </w:r>
      <w:r w:rsidR="00D518D4" w:rsidRPr="00D518D4">
        <w:rPr>
          <w:rFonts w:ascii="David" w:hAnsi="David" w:cs="David" w:hint="cs"/>
          <w:sz w:val="24"/>
          <w:szCs w:val="24"/>
          <w:rtl/>
        </w:rPr>
        <w:t xml:space="preserve">ראו </w:t>
      </w:r>
      <w:r w:rsidRPr="00D518D4">
        <w:rPr>
          <w:rFonts w:ascii="David" w:hAnsi="David" w:cs="David"/>
          <w:sz w:val="24"/>
          <w:szCs w:val="24"/>
          <w:rtl/>
        </w:rPr>
        <w:t>פרוטוקול דיון מיום 1.3.23 עמוד 66 שורות 9-10).</w:t>
      </w:r>
    </w:p>
    <w:p w:rsidR="0039123E" w:rsidRDefault="0039123E" w:rsidP="0039123E">
      <w:pPr>
        <w:pStyle w:val="ad"/>
        <w:spacing w:line="240" w:lineRule="auto"/>
        <w:ind w:left="651"/>
        <w:jc w:val="both"/>
        <w:rPr>
          <w:rFonts w:ascii="David" w:hAnsi="David" w:cs="David"/>
          <w:sz w:val="24"/>
          <w:szCs w:val="24"/>
        </w:rPr>
      </w:pPr>
    </w:p>
    <w:p w:rsidR="00120007" w:rsidRDefault="00120007" w:rsidP="0039123E">
      <w:pPr>
        <w:pStyle w:val="ad"/>
        <w:numPr>
          <w:ilvl w:val="0"/>
          <w:numId w:val="1"/>
        </w:numPr>
        <w:spacing w:line="360" w:lineRule="auto"/>
        <w:ind w:left="651" w:hanging="651"/>
        <w:jc w:val="both"/>
        <w:rPr>
          <w:rFonts w:ascii="David" w:hAnsi="David" w:cs="David"/>
          <w:sz w:val="24"/>
          <w:szCs w:val="24"/>
        </w:rPr>
      </w:pPr>
      <w:r w:rsidRPr="0039123E">
        <w:rPr>
          <w:rFonts w:ascii="David" w:hAnsi="David" w:cs="David"/>
          <w:sz w:val="24"/>
          <w:szCs w:val="24"/>
          <w:rtl/>
        </w:rPr>
        <w:t xml:space="preserve">גם אם אקבל את טענת התובעים לגבי קשרים טובים במשפחה, אין בכך בכדי לפטור אותם מלעגן עסקה במקרקעין בכתב. </w:t>
      </w:r>
      <w:r w:rsidRPr="0039123E">
        <w:rPr>
          <w:rFonts w:ascii="David" w:hAnsi="David" w:cs="David"/>
          <w:b/>
          <w:bCs/>
          <w:sz w:val="24"/>
          <w:szCs w:val="24"/>
          <w:rtl/>
        </w:rPr>
        <w:t xml:space="preserve">אין מדובר בחליפין של דברי מזון, או דברי לבוש, ואף לא של מיטלטלין, מדובר בעסקת חליפין של נכס מקרקעין, אולי המשמעותי ביותר שצובר אדם </w:t>
      </w:r>
      <w:r w:rsidRPr="0039123E">
        <w:rPr>
          <w:rFonts w:ascii="David" w:hAnsi="David" w:cs="David"/>
          <w:b/>
          <w:bCs/>
          <w:sz w:val="24"/>
          <w:szCs w:val="24"/>
          <w:rtl/>
        </w:rPr>
        <w:lastRenderedPageBreak/>
        <w:t>במהלך חייו – דירת מגורים</w:t>
      </w:r>
      <w:r w:rsidRPr="0039123E">
        <w:rPr>
          <w:rFonts w:ascii="David" w:hAnsi="David" w:cs="David"/>
          <w:sz w:val="24"/>
          <w:szCs w:val="24"/>
          <w:rtl/>
        </w:rPr>
        <w:t xml:space="preserve">. </w:t>
      </w:r>
      <w:r w:rsidRPr="0039123E">
        <w:rPr>
          <w:rFonts w:ascii="David" w:hAnsi="David" w:cs="David"/>
          <w:b/>
          <w:bCs/>
          <w:sz w:val="24"/>
          <w:szCs w:val="24"/>
          <w:rtl/>
        </w:rPr>
        <w:t>היה מצופה מהתובעים, במיוחד כאשר מדובר בבית מגורים, שהנתבעים עתידים להיות חלק מיורשיו, לדאוג כי לכל הפחות תיכתב הסכמה זו בכתב</w:t>
      </w:r>
      <w:r w:rsidRPr="0039123E">
        <w:rPr>
          <w:rFonts w:ascii="David" w:hAnsi="David" w:cs="David"/>
          <w:sz w:val="24"/>
          <w:szCs w:val="24"/>
          <w:rtl/>
        </w:rPr>
        <w:t>. ההלכה היא שגם כאשר מדובר בהסכמה משפחתית, אין בכך כדי לפטור מדרישת הכתב במקרקעין (בע"מ 329/15 </w:t>
      </w:r>
      <w:r w:rsidRPr="0039123E">
        <w:rPr>
          <w:rFonts w:ascii="David" w:hAnsi="David" w:cs="David"/>
          <w:b/>
          <w:bCs/>
          <w:sz w:val="24"/>
          <w:szCs w:val="24"/>
          <w:rtl/>
        </w:rPr>
        <w:t>פלוני נ' פלוני</w:t>
      </w:r>
      <w:r w:rsidRPr="0039123E">
        <w:rPr>
          <w:rFonts w:ascii="David" w:hAnsi="David" w:cs="David"/>
          <w:sz w:val="24"/>
          <w:szCs w:val="24"/>
          <w:rtl/>
        </w:rPr>
        <w:t xml:space="preserve"> </w:t>
      </w:r>
      <w:r w:rsidRPr="0039123E">
        <w:rPr>
          <w:rFonts w:ascii="David" w:hAnsi="David" w:cs="David"/>
          <w:sz w:val="24"/>
          <w:szCs w:val="24"/>
        </w:rPr>
        <w:t>(25.2.2015)</w:t>
      </w:r>
      <w:r w:rsidRPr="0039123E">
        <w:rPr>
          <w:rFonts w:ascii="David" w:hAnsi="David" w:cs="David"/>
          <w:sz w:val="24"/>
          <w:szCs w:val="24"/>
          <w:rtl/>
        </w:rPr>
        <w:t>) .</w:t>
      </w:r>
    </w:p>
    <w:p w:rsidR="0039123E" w:rsidRPr="0039123E" w:rsidRDefault="0039123E" w:rsidP="0039123E">
      <w:pPr>
        <w:pStyle w:val="ad"/>
        <w:rPr>
          <w:rFonts w:ascii="David" w:hAnsi="David" w:cs="David"/>
          <w:sz w:val="24"/>
          <w:szCs w:val="24"/>
          <w:rtl/>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b/>
          <w:bCs/>
          <w:sz w:val="24"/>
          <w:szCs w:val="24"/>
          <w:u w:val="single"/>
          <w:rtl/>
        </w:rPr>
        <w:t>לא ניתן היה לבצע את רישום הזכויות</w:t>
      </w:r>
      <w:r>
        <w:rPr>
          <w:rFonts w:ascii="David" w:hAnsi="David" w:cs="David"/>
          <w:sz w:val="24"/>
          <w:szCs w:val="24"/>
          <w:rtl/>
        </w:rPr>
        <w:t xml:space="preserve"> – לטענת התובעים בשל המשכנתא שהיתה מוטלת על דירתם ב</w:t>
      </w:r>
      <w:r w:rsidR="00EE0F14">
        <w:rPr>
          <w:rFonts w:ascii="David" w:hAnsi="David" w:cs="David"/>
          <w:sz w:val="24"/>
          <w:szCs w:val="24"/>
        </w:rPr>
        <w:t>xxx</w:t>
      </w:r>
      <w:r>
        <w:rPr>
          <w:rFonts w:ascii="David" w:hAnsi="David" w:cs="David"/>
          <w:sz w:val="24"/>
          <w:szCs w:val="24"/>
          <w:rtl/>
        </w:rPr>
        <w:t>, אותה גררו לרכישת הדירה ב</w:t>
      </w:r>
      <w:r w:rsidR="00EE0F14">
        <w:rPr>
          <w:rFonts w:ascii="David" w:hAnsi="David" w:cs="David"/>
          <w:sz w:val="24"/>
          <w:szCs w:val="24"/>
        </w:rPr>
        <w:t>xxx</w:t>
      </w:r>
      <w:r>
        <w:rPr>
          <w:rFonts w:ascii="David" w:hAnsi="David" w:cs="David"/>
          <w:sz w:val="24"/>
          <w:szCs w:val="24"/>
          <w:rtl/>
        </w:rPr>
        <w:t xml:space="preserve">, לא יכולים היו לפעול לשם שינוי הרישום. </w:t>
      </w:r>
      <w:r>
        <w:rPr>
          <w:rFonts w:ascii="David" w:hAnsi="David" w:cs="David"/>
          <w:b/>
          <w:bCs/>
          <w:sz w:val="24"/>
          <w:szCs w:val="24"/>
          <w:rtl/>
        </w:rPr>
        <w:t>גם אם אקבל טענה זו, אין בה בכדי להפחית מאחריותם, ואף חובתם, לדאוג למסמך בכתב אשר יהיה בו בכדי לתמוך בעסקה המדוברת</w:t>
      </w:r>
      <w:r>
        <w:rPr>
          <w:rFonts w:ascii="David" w:hAnsi="David" w:cs="David"/>
          <w:sz w:val="24"/>
          <w:szCs w:val="24"/>
          <w:rtl/>
        </w:rPr>
        <w:t>. נראה אף שלהיפך, ככל שטענתם נכונה, היה עליהם לפעול ביתר שאת על מנת לעגן את ההסכמה בכתב.</w:t>
      </w:r>
    </w:p>
    <w:p w:rsidR="00120007" w:rsidRDefault="00120007" w:rsidP="00120007">
      <w:pPr>
        <w:pStyle w:val="ad"/>
        <w:rPr>
          <w:rFonts w:ascii="David" w:hAnsi="David" w:cs="David"/>
          <w:sz w:val="24"/>
          <w:szCs w:val="24"/>
        </w:rPr>
      </w:pPr>
    </w:p>
    <w:p w:rsidR="0039123E" w:rsidRDefault="00120007" w:rsidP="0039123E">
      <w:pPr>
        <w:pStyle w:val="ad"/>
        <w:numPr>
          <w:ilvl w:val="0"/>
          <w:numId w:val="1"/>
        </w:numPr>
        <w:spacing w:line="360" w:lineRule="auto"/>
        <w:ind w:left="651" w:hanging="651"/>
        <w:jc w:val="both"/>
        <w:rPr>
          <w:rFonts w:ascii="David" w:hAnsi="David" w:cs="David"/>
          <w:sz w:val="24"/>
          <w:szCs w:val="24"/>
        </w:rPr>
      </w:pPr>
      <w:r>
        <w:rPr>
          <w:rFonts w:ascii="David" w:hAnsi="David" w:cs="David"/>
          <w:sz w:val="24"/>
          <w:szCs w:val="24"/>
          <w:rtl/>
        </w:rPr>
        <w:t xml:space="preserve">אולם לא רק, הנתבעים טענו כי מדובר בטענות מופרכות ובשינוי גרסאות, ונראה כי יש ממש בטענה זו. </w:t>
      </w:r>
      <w:r w:rsidRPr="0039123E">
        <w:rPr>
          <w:rFonts w:ascii="David" w:hAnsi="David" w:cs="David"/>
          <w:sz w:val="24"/>
          <w:szCs w:val="24"/>
          <w:rtl/>
        </w:rPr>
        <w:t>כך למשל התובעים טענו כי הזכויות לא נרשמו בגלל בעיית דמנציה של המנוחה, ולאחר שהתובע העיד בחקירה כי סמך על אחיו, נשמטת הטענה של דמנציה (</w:t>
      </w:r>
      <w:r w:rsidR="0039123E">
        <w:rPr>
          <w:rFonts w:ascii="David" w:hAnsi="David" w:cs="David" w:hint="cs"/>
          <w:sz w:val="24"/>
          <w:szCs w:val="24"/>
          <w:rtl/>
        </w:rPr>
        <w:t xml:space="preserve">ראו </w:t>
      </w:r>
      <w:r w:rsidRPr="0039123E">
        <w:rPr>
          <w:rFonts w:ascii="David" w:hAnsi="David" w:cs="David"/>
          <w:sz w:val="24"/>
          <w:szCs w:val="24"/>
          <w:rtl/>
        </w:rPr>
        <w:t>פרוטוקול דיון מיום 8.1.23 עמוד 45 שורות 11-12).</w:t>
      </w:r>
    </w:p>
    <w:p w:rsidR="0039123E" w:rsidRPr="0039123E" w:rsidRDefault="0039123E" w:rsidP="0039123E">
      <w:pPr>
        <w:pStyle w:val="ad"/>
        <w:rPr>
          <w:rFonts w:ascii="David" w:hAnsi="David" w:cs="David"/>
          <w:sz w:val="24"/>
          <w:szCs w:val="24"/>
          <w:rtl/>
        </w:rPr>
      </w:pPr>
    </w:p>
    <w:p w:rsidR="00AF30EF" w:rsidRDefault="00120007" w:rsidP="00AF30EF">
      <w:pPr>
        <w:pStyle w:val="ad"/>
        <w:numPr>
          <w:ilvl w:val="0"/>
          <w:numId w:val="1"/>
        </w:numPr>
        <w:spacing w:line="360" w:lineRule="auto"/>
        <w:ind w:left="651" w:hanging="651"/>
        <w:jc w:val="both"/>
        <w:rPr>
          <w:rFonts w:ascii="David" w:hAnsi="David" w:cs="David"/>
          <w:sz w:val="24"/>
          <w:szCs w:val="24"/>
        </w:rPr>
      </w:pPr>
      <w:r w:rsidRPr="0039123E">
        <w:rPr>
          <w:rFonts w:ascii="David" w:hAnsi="David" w:cs="David"/>
          <w:sz w:val="24"/>
          <w:szCs w:val="24"/>
          <w:rtl/>
        </w:rPr>
        <w:t>כך גם בהמשך, כאשר התבקש התובע לאשר בחקירתו שעל הבית ב</w:t>
      </w:r>
      <w:r w:rsidR="00EE0F14">
        <w:rPr>
          <w:rFonts w:ascii="David" w:hAnsi="David" w:cs="David"/>
          <w:sz w:val="24"/>
          <w:szCs w:val="24"/>
        </w:rPr>
        <w:t>xxx</w:t>
      </w:r>
      <w:r w:rsidRPr="0039123E">
        <w:rPr>
          <w:rFonts w:ascii="David" w:hAnsi="David" w:cs="David"/>
          <w:sz w:val="24"/>
          <w:szCs w:val="24"/>
          <w:rtl/>
        </w:rPr>
        <w:t xml:space="preserve"> לא היתה משכנתא התובע אישר זאת (</w:t>
      </w:r>
      <w:r w:rsidR="003663C7" w:rsidRPr="0039123E">
        <w:rPr>
          <w:rFonts w:ascii="David" w:hAnsi="David" w:cs="David" w:hint="cs"/>
          <w:sz w:val="24"/>
          <w:szCs w:val="24"/>
          <w:rtl/>
        </w:rPr>
        <w:t xml:space="preserve">ראו: </w:t>
      </w:r>
      <w:r w:rsidRPr="0039123E">
        <w:rPr>
          <w:rFonts w:ascii="David" w:hAnsi="David" w:cs="David"/>
          <w:sz w:val="24"/>
          <w:szCs w:val="24"/>
          <w:rtl/>
        </w:rPr>
        <w:t>פרוטוקול דיון מיום 8.1.23 עמוד 45 שורות 19-21), וכנשאל, אם כך הדבר, מדוע ה</w:t>
      </w:r>
      <w:r w:rsidR="00EE0F14">
        <w:rPr>
          <w:rFonts w:ascii="David" w:hAnsi="David" w:cs="David"/>
          <w:sz w:val="24"/>
          <w:szCs w:val="24"/>
          <w:rtl/>
        </w:rPr>
        <w:t>משכנתא שהיתה על הדירה שלו ב</w:t>
      </w:r>
      <w:r w:rsidR="00EE0F14">
        <w:rPr>
          <w:rFonts w:ascii="David" w:hAnsi="David" w:cs="David"/>
          <w:sz w:val="24"/>
          <w:szCs w:val="24"/>
        </w:rPr>
        <w:t>xxx</w:t>
      </w:r>
      <w:r w:rsidRPr="0039123E">
        <w:rPr>
          <w:rFonts w:ascii="David" w:hAnsi="David" w:cs="David"/>
          <w:sz w:val="24"/>
          <w:szCs w:val="24"/>
          <w:rtl/>
        </w:rPr>
        <w:t xml:space="preserve"> הפריעה להעביר את הבית ב</w:t>
      </w:r>
      <w:r w:rsidR="00EE0F14">
        <w:rPr>
          <w:rFonts w:ascii="David" w:hAnsi="David" w:cs="David"/>
          <w:sz w:val="24"/>
          <w:szCs w:val="24"/>
        </w:rPr>
        <w:t>xxx</w:t>
      </w:r>
      <w:r w:rsidRPr="0039123E">
        <w:rPr>
          <w:rFonts w:ascii="David" w:hAnsi="David" w:cs="David"/>
          <w:sz w:val="24"/>
          <w:szCs w:val="24"/>
          <w:rtl/>
        </w:rPr>
        <w:t xml:space="preserve"> על שמו, השיב "</w:t>
      </w:r>
      <w:r w:rsidRPr="0039123E">
        <w:rPr>
          <w:rFonts w:ascii="David" w:hAnsi="David" w:cs="David"/>
          <w:b/>
          <w:bCs/>
          <w:sz w:val="24"/>
          <w:szCs w:val="24"/>
          <w:rtl/>
        </w:rPr>
        <w:t>כך אמרו לי</w:t>
      </w:r>
      <w:r w:rsidRPr="0039123E">
        <w:rPr>
          <w:rFonts w:ascii="David" w:hAnsi="David" w:cs="David"/>
          <w:sz w:val="24"/>
          <w:szCs w:val="24"/>
          <w:rtl/>
        </w:rPr>
        <w:t>" אך לא זכר מי אמר ובאיזה הקשר (</w:t>
      </w:r>
      <w:r w:rsidR="0039123E">
        <w:rPr>
          <w:rFonts w:ascii="David" w:hAnsi="David" w:cs="David" w:hint="cs"/>
          <w:sz w:val="24"/>
          <w:szCs w:val="24"/>
          <w:rtl/>
        </w:rPr>
        <w:t>ראו</w:t>
      </w:r>
      <w:r w:rsidR="00AF30EF">
        <w:rPr>
          <w:rFonts w:ascii="David" w:hAnsi="David" w:cs="David" w:hint="cs"/>
          <w:sz w:val="24"/>
          <w:szCs w:val="24"/>
          <w:rtl/>
        </w:rPr>
        <w:t xml:space="preserve"> </w:t>
      </w:r>
      <w:r w:rsidRPr="0039123E">
        <w:rPr>
          <w:rFonts w:ascii="David" w:hAnsi="David" w:cs="David"/>
          <w:sz w:val="24"/>
          <w:szCs w:val="24"/>
          <w:rtl/>
        </w:rPr>
        <w:t>פרוטוקול דיון מיום 8.1.23 עמוד 45 שורות 22-31).</w:t>
      </w:r>
    </w:p>
    <w:p w:rsidR="00AF30EF" w:rsidRPr="00AF30EF" w:rsidRDefault="00AF30EF" w:rsidP="00AF30EF">
      <w:pPr>
        <w:pStyle w:val="ad"/>
        <w:rPr>
          <w:rFonts w:ascii="David" w:hAnsi="David" w:cs="David"/>
          <w:sz w:val="24"/>
          <w:szCs w:val="24"/>
          <w:rtl/>
        </w:rPr>
      </w:pPr>
    </w:p>
    <w:p w:rsidR="00120007" w:rsidRPr="00AF30EF" w:rsidRDefault="00120007" w:rsidP="00AF30EF">
      <w:pPr>
        <w:pStyle w:val="ad"/>
        <w:numPr>
          <w:ilvl w:val="0"/>
          <w:numId w:val="1"/>
        </w:numPr>
        <w:spacing w:line="360" w:lineRule="auto"/>
        <w:ind w:left="651" w:hanging="651"/>
        <w:jc w:val="both"/>
        <w:rPr>
          <w:rFonts w:ascii="David" w:hAnsi="David" w:cs="David"/>
          <w:sz w:val="24"/>
          <w:szCs w:val="24"/>
          <w:rtl/>
        </w:rPr>
      </w:pPr>
      <w:r w:rsidRPr="00AF30EF">
        <w:rPr>
          <w:rFonts w:ascii="David" w:hAnsi="David" w:cs="David"/>
          <w:sz w:val="24"/>
          <w:szCs w:val="24"/>
          <w:rtl/>
        </w:rPr>
        <w:t>גם כאשר נשאל התובע שבהנחה שמה שאמר לגבי המשכנתא נכון, מדוע אחרי שהמשכנתא הסתיימה לא טרח להעביר את הבית ב</w:t>
      </w:r>
      <w:r w:rsidR="00EE0F14">
        <w:rPr>
          <w:rFonts w:ascii="David" w:hAnsi="David" w:cs="David"/>
          <w:sz w:val="24"/>
          <w:szCs w:val="24"/>
        </w:rPr>
        <w:t>xxx</w:t>
      </w:r>
      <w:r w:rsidRPr="00AF30EF">
        <w:rPr>
          <w:rFonts w:ascii="David" w:hAnsi="David" w:cs="David"/>
          <w:sz w:val="24"/>
          <w:szCs w:val="24"/>
          <w:rtl/>
        </w:rPr>
        <w:t xml:space="preserve"> על שמו, תשובתו היתה בעייתית "</w:t>
      </w:r>
      <w:r w:rsidRPr="00AF30EF">
        <w:rPr>
          <w:rFonts w:ascii="David" w:hAnsi="David" w:cs="David"/>
          <w:b/>
          <w:bCs/>
          <w:sz w:val="24"/>
          <w:szCs w:val="24"/>
          <w:rtl/>
        </w:rPr>
        <w:t>מבחינתי זה משהו שולי זה עסק של משפחה לא היה כל צורך לדאוג אנחנו אחים</w:t>
      </w:r>
      <w:r w:rsidRPr="00AF30EF">
        <w:rPr>
          <w:rFonts w:ascii="David" w:hAnsi="David" w:cs="David"/>
          <w:sz w:val="24"/>
          <w:szCs w:val="24"/>
          <w:rtl/>
        </w:rPr>
        <w:t>" (</w:t>
      </w:r>
      <w:r w:rsidR="00AF30EF">
        <w:rPr>
          <w:rFonts w:ascii="David" w:hAnsi="David" w:cs="David" w:hint="cs"/>
          <w:sz w:val="24"/>
          <w:szCs w:val="24"/>
          <w:rtl/>
        </w:rPr>
        <w:t xml:space="preserve">ראו </w:t>
      </w:r>
      <w:r w:rsidRPr="00AF30EF">
        <w:rPr>
          <w:rFonts w:ascii="David" w:hAnsi="David" w:cs="David"/>
          <w:sz w:val="24"/>
          <w:szCs w:val="24"/>
          <w:rtl/>
        </w:rPr>
        <w:t xml:space="preserve">פרוטוקול דיון מיום 8.1.23 עמוד 45 שורות 34-35). </w:t>
      </w:r>
    </w:p>
    <w:p w:rsidR="00120007" w:rsidRDefault="00120007" w:rsidP="00120007">
      <w:pPr>
        <w:pStyle w:val="ad"/>
        <w:ind w:left="651" w:hanging="651"/>
        <w:rPr>
          <w:rFonts w:ascii="David" w:hAnsi="David" w:cs="David"/>
          <w:sz w:val="24"/>
          <w:szCs w:val="24"/>
          <w:highlight w:val="green"/>
        </w:rPr>
      </w:pPr>
    </w:p>
    <w:p w:rsidR="00AF30EF" w:rsidRDefault="00120007" w:rsidP="00AF30EF">
      <w:pPr>
        <w:pStyle w:val="ad"/>
        <w:numPr>
          <w:ilvl w:val="0"/>
          <w:numId w:val="1"/>
        </w:numPr>
        <w:spacing w:line="360" w:lineRule="auto"/>
        <w:ind w:left="651" w:hanging="651"/>
        <w:jc w:val="both"/>
        <w:rPr>
          <w:rFonts w:ascii="David" w:hAnsi="David" w:cs="David"/>
          <w:sz w:val="24"/>
          <w:szCs w:val="24"/>
        </w:rPr>
      </w:pPr>
      <w:r>
        <w:rPr>
          <w:rFonts w:ascii="David" w:hAnsi="David" w:cs="David"/>
          <w:sz w:val="24"/>
          <w:szCs w:val="24"/>
          <w:rtl/>
        </w:rPr>
        <w:t>בהמשך נשאל התובע, מדוע הדירה ב</w:t>
      </w:r>
      <w:r w:rsidR="00EE0F14">
        <w:rPr>
          <w:rFonts w:ascii="David" w:hAnsi="David" w:cs="David"/>
          <w:sz w:val="24"/>
          <w:szCs w:val="24"/>
        </w:rPr>
        <w:t>xxx</w:t>
      </w:r>
      <w:r>
        <w:rPr>
          <w:rFonts w:ascii="David" w:hAnsi="David" w:cs="David"/>
          <w:sz w:val="24"/>
          <w:szCs w:val="24"/>
          <w:rtl/>
        </w:rPr>
        <w:t xml:space="preserve"> לא נרשמה על שם המנוחה, הרי שם לא היתה בעיית משכנתא, ולכל הפחות מדוע המנוחה לא היתה חלק מחוזה הרכישה ותשובתו היתה שזה לא היה נראה כל כך חשוב (</w:t>
      </w:r>
      <w:r w:rsidR="00AF30EF">
        <w:rPr>
          <w:rFonts w:ascii="David" w:hAnsi="David" w:cs="David" w:hint="cs"/>
          <w:sz w:val="24"/>
          <w:szCs w:val="24"/>
          <w:rtl/>
        </w:rPr>
        <w:t xml:space="preserve">ראו </w:t>
      </w:r>
      <w:r w:rsidRPr="003367C5">
        <w:rPr>
          <w:rFonts w:ascii="David" w:hAnsi="David" w:cs="David"/>
          <w:sz w:val="24"/>
          <w:szCs w:val="24"/>
          <w:rtl/>
        </w:rPr>
        <w:t>פרוטוקול דיון מיום 8.1.23 עמוד 47 שורות 26-36 ועמוד 48 שורות 1-2).</w:t>
      </w:r>
      <w:r>
        <w:rPr>
          <w:rFonts w:ascii="David" w:hAnsi="David" w:cs="David"/>
          <w:sz w:val="24"/>
          <w:szCs w:val="24"/>
          <w:rtl/>
        </w:rPr>
        <w:t xml:space="preserve"> </w:t>
      </w:r>
      <w:r>
        <w:rPr>
          <w:rFonts w:ascii="David" w:hAnsi="David" w:cs="David"/>
          <w:b/>
          <w:bCs/>
          <w:sz w:val="24"/>
          <w:szCs w:val="24"/>
          <w:rtl/>
        </w:rPr>
        <w:t>עם כל הכבוד, לא ניתן לקבל תשובה של "לא נראה לי חשוב" כאשר עסקינן ברישום זכויות במקרקעין</w:t>
      </w:r>
      <w:r>
        <w:rPr>
          <w:rFonts w:ascii="David" w:hAnsi="David" w:cs="David"/>
          <w:sz w:val="24"/>
          <w:szCs w:val="24"/>
          <w:rtl/>
        </w:rPr>
        <w:t>.</w:t>
      </w:r>
    </w:p>
    <w:p w:rsidR="00AF30EF" w:rsidRPr="00AF30EF" w:rsidRDefault="00AF30EF" w:rsidP="00AF30EF">
      <w:pPr>
        <w:pStyle w:val="ad"/>
        <w:rPr>
          <w:rFonts w:ascii="David" w:hAnsi="David" w:cs="David"/>
          <w:b/>
          <w:bCs/>
          <w:sz w:val="24"/>
          <w:szCs w:val="24"/>
          <w:u w:val="single"/>
          <w:rtl/>
        </w:rPr>
      </w:pPr>
    </w:p>
    <w:p w:rsidR="00AF30EF" w:rsidRDefault="00120007" w:rsidP="00AF30EF">
      <w:pPr>
        <w:pStyle w:val="ad"/>
        <w:numPr>
          <w:ilvl w:val="0"/>
          <w:numId w:val="1"/>
        </w:numPr>
        <w:spacing w:line="360" w:lineRule="auto"/>
        <w:ind w:left="651" w:hanging="651"/>
        <w:jc w:val="both"/>
        <w:rPr>
          <w:rFonts w:ascii="David" w:hAnsi="David" w:cs="David"/>
          <w:sz w:val="24"/>
          <w:szCs w:val="24"/>
        </w:rPr>
      </w:pPr>
      <w:r w:rsidRPr="00AF30EF">
        <w:rPr>
          <w:rFonts w:ascii="David" w:hAnsi="David" w:cs="David"/>
          <w:b/>
          <w:bCs/>
          <w:sz w:val="24"/>
          <w:szCs w:val="24"/>
          <w:u w:val="single"/>
          <w:rtl/>
        </w:rPr>
        <w:lastRenderedPageBreak/>
        <w:t>ידיעתם של הנתבעים ושתיקתם</w:t>
      </w:r>
      <w:r w:rsidRPr="00AF30EF">
        <w:rPr>
          <w:rFonts w:ascii="David" w:hAnsi="David" w:cs="David"/>
          <w:sz w:val="24"/>
          <w:szCs w:val="24"/>
          <w:rtl/>
        </w:rPr>
        <w:t xml:space="preserve">  - התובעים טוענים כי שתיקתם של הנתבעים במהלך 23 שנים, מעידה כי ידעו והסכימו. לענין זה הצדדים חלוקים ומהע</w:t>
      </w:r>
      <w:r w:rsidR="00AF30EF">
        <w:rPr>
          <w:rFonts w:ascii="David" w:hAnsi="David" w:cs="David"/>
          <w:sz w:val="24"/>
          <w:szCs w:val="24"/>
          <w:rtl/>
        </w:rPr>
        <w:t>דויות של שני הצדדים עולות ספקות</w:t>
      </w:r>
      <w:r w:rsidR="00AF30EF">
        <w:rPr>
          <w:rFonts w:ascii="David" w:hAnsi="David" w:cs="David" w:hint="cs"/>
          <w:sz w:val="24"/>
          <w:szCs w:val="24"/>
          <w:rtl/>
        </w:rPr>
        <w:t>.</w:t>
      </w:r>
    </w:p>
    <w:p w:rsidR="00AF30EF" w:rsidRPr="00AF30EF" w:rsidRDefault="00AF30EF" w:rsidP="00AF30EF">
      <w:pPr>
        <w:pStyle w:val="ad"/>
        <w:rPr>
          <w:rFonts w:ascii="David" w:hAnsi="David" w:cs="David"/>
          <w:sz w:val="24"/>
          <w:szCs w:val="24"/>
          <w:rtl/>
        </w:rPr>
      </w:pPr>
    </w:p>
    <w:p w:rsidR="00AF30EF" w:rsidRDefault="00120007" w:rsidP="00AF30EF">
      <w:pPr>
        <w:pStyle w:val="ad"/>
        <w:numPr>
          <w:ilvl w:val="0"/>
          <w:numId w:val="1"/>
        </w:numPr>
        <w:spacing w:line="360" w:lineRule="auto"/>
        <w:ind w:left="651" w:hanging="651"/>
        <w:jc w:val="both"/>
        <w:rPr>
          <w:rFonts w:ascii="David" w:hAnsi="David" w:cs="David"/>
          <w:sz w:val="24"/>
          <w:szCs w:val="24"/>
        </w:rPr>
      </w:pPr>
      <w:r w:rsidRPr="00AF30EF">
        <w:rPr>
          <w:rFonts w:ascii="David" w:hAnsi="David" w:cs="David"/>
          <w:sz w:val="24"/>
          <w:szCs w:val="24"/>
          <w:rtl/>
        </w:rPr>
        <w:t>כך למשל העיד הנתבע 1 כי ידע שהתובע קנה למנוחה דירה והיא עברה לגור בדירה שלו והוא עבר לגור בדירה שלה, אבל הוסיף ואמר כי "</w:t>
      </w:r>
      <w:r w:rsidRPr="00AF30EF">
        <w:rPr>
          <w:rFonts w:ascii="David" w:hAnsi="David" w:cs="David"/>
          <w:b/>
          <w:bCs/>
          <w:sz w:val="24"/>
          <w:szCs w:val="24"/>
          <w:rtl/>
        </w:rPr>
        <w:t>זה מה שהיה, לא היתה שום החלפה</w:t>
      </w:r>
      <w:r w:rsidRPr="00AF30EF">
        <w:rPr>
          <w:rFonts w:ascii="David" w:hAnsi="David" w:cs="David"/>
          <w:sz w:val="24"/>
          <w:szCs w:val="24"/>
          <w:rtl/>
        </w:rPr>
        <w:t>" (</w:t>
      </w:r>
      <w:r w:rsidR="001C4AEC" w:rsidRPr="00AF30EF">
        <w:rPr>
          <w:rFonts w:ascii="David" w:hAnsi="David" w:cs="David" w:hint="cs"/>
          <w:sz w:val="24"/>
          <w:szCs w:val="24"/>
          <w:rtl/>
        </w:rPr>
        <w:t>ראו</w:t>
      </w:r>
      <w:r w:rsidR="00AF30EF">
        <w:rPr>
          <w:rFonts w:ascii="David" w:hAnsi="David" w:cs="David" w:hint="cs"/>
          <w:sz w:val="24"/>
          <w:szCs w:val="24"/>
          <w:rtl/>
        </w:rPr>
        <w:t xml:space="preserve"> </w:t>
      </w:r>
      <w:r w:rsidR="001C4AEC" w:rsidRPr="00AF30EF">
        <w:rPr>
          <w:rFonts w:ascii="David" w:hAnsi="David" w:cs="David" w:hint="cs"/>
          <w:sz w:val="24"/>
          <w:szCs w:val="24"/>
          <w:rtl/>
        </w:rPr>
        <w:t xml:space="preserve"> </w:t>
      </w:r>
      <w:r w:rsidRPr="00AF30EF">
        <w:rPr>
          <w:rFonts w:ascii="David" w:hAnsi="David" w:cs="David"/>
          <w:sz w:val="24"/>
          <w:szCs w:val="24"/>
          <w:rtl/>
        </w:rPr>
        <w:t xml:space="preserve">פרוטוקול מיום </w:t>
      </w:r>
      <w:r w:rsidR="001C4AEC" w:rsidRPr="00AF30EF">
        <w:rPr>
          <w:rFonts w:ascii="David" w:hAnsi="David" w:cs="David" w:hint="cs"/>
          <w:sz w:val="24"/>
          <w:szCs w:val="24"/>
          <w:rtl/>
        </w:rPr>
        <w:t xml:space="preserve">1.3.23, </w:t>
      </w:r>
      <w:r w:rsidRPr="00AF30EF">
        <w:rPr>
          <w:rFonts w:ascii="David" w:hAnsi="David" w:cs="David"/>
          <w:sz w:val="24"/>
          <w:szCs w:val="24"/>
          <w:rtl/>
        </w:rPr>
        <w:t>עמוד 64 שורות 24-28).</w:t>
      </w:r>
    </w:p>
    <w:p w:rsidR="00AF30EF" w:rsidRPr="00AF30EF" w:rsidRDefault="00AF30EF" w:rsidP="00AF30EF">
      <w:pPr>
        <w:pStyle w:val="ad"/>
        <w:rPr>
          <w:rFonts w:ascii="David" w:hAnsi="David" w:cs="David"/>
          <w:sz w:val="24"/>
          <w:szCs w:val="24"/>
          <w:rtl/>
        </w:rPr>
      </w:pPr>
    </w:p>
    <w:p w:rsidR="00120007" w:rsidRPr="00AF30EF" w:rsidRDefault="00120007" w:rsidP="00175364">
      <w:pPr>
        <w:pStyle w:val="ad"/>
        <w:numPr>
          <w:ilvl w:val="0"/>
          <w:numId w:val="1"/>
        </w:numPr>
        <w:spacing w:line="360" w:lineRule="auto"/>
        <w:ind w:left="651" w:hanging="651"/>
        <w:jc w:val="both"/>
        <w:rPr>
          <w:rFonts w:ascii="David" w:hAnsi="David" w:cs="David"/>
          <w:sz w:val="24"/>
          <w:szCs w:val="24"/>
          <w:rtl/>
        </w:rPr>
      </w:pPr>
      <w:r w:rsidRPr="00AF30EF">
        <w:rPr>
          <w:rFonts w:ascii="David" w:hAnsi="David" w:cs="David"/>
          <w:sz w:val="24"/>
          <w:szCs w:val="24"/>
          <w:rtl/>
        </w:rPr>
        <w:t>כך גם הנתבעת 2 נשאלה בענין זה והשיבה: "</w:t>
      </w:r>
      <w:r w:rsidRPr="00AF30EF">
        <w:rPr>
          <w:rFonts w:ascii="David" w:hAnsi="David" w:cs="David"/>
          <w:b/>
          <w:bCs/>
          <w:sz w:val="24"/>
          <w:szCs w:val="24"/>
          <w:rtl/>
        </w:rPr>
        <w:t xml:space="preserve">הם ביקשו רשות אחד מהשני, </w:t>
      </w:r>
      <w:r w:rsidR="00175364">
        <w:rPr>
          <w:rFonts w:ascii="David" w:hAnsi="David" w:cs="David"/>
          <w:b/>
          <w:bCs/>
          <w:sz w:val="24"/>
          <w:szCs w:val="24"/>
        </w:rPr>
        <w:t>xxxx</w:t>
      </w:r>
      <w:r w:rsidRPr="00AF30EF">
        <w:rPr>
          <w:rFonts w:ascii="David" w:hAnsi="David" w:cs="David"/>
          <w:b/>
          <w:bCs/>
          <w:sz w:val="24"/>
          <w:szCs w:val="24"/>
          <w:rtl/>
        </w:rPr>
        <w:t xml:space="preserve"> עבד שם אז הוא בדירה שלה והיא עברה לגור בעיר בדירה שלו</w:t>
      </w:r>
      <w:r w:rsidRPr="00AF30EF">
        <w:rPr>
          <w:rFonts w:ascii="David" w:hAnsi="David" w:cs="David"/>
          <w:sz w:val="24"/>
          <w:szCs w:val="24"/>
          <w:rtl/>
        </w:rPr>
        <w:t>" (</w:t>
      </w:r>
      <w:r w:rsidR="003A4A34" w:rsidRPr="00AF30EF">
        <w:rPr>
          <w:rFonts w:ascii="David" w:hAnsi="David" w:cs="David" w:hint="cs"/>
          <w:sz w:val="24"/>
          <w:szCs w:val="24"/>
          <w:rtl/>
        </w:rPr>
        <w:t xml:space="preserve">ראו </w:t>
      </w:r>
      <w:r w:rsidRPr="00AF30EF">
        <w:rPr>
          <w:rFonts w:ascii="David" w:hAnsi="David" w:cs="David"/>
          <w:sz w:val="24"/>
          <w:szCs w:val="24"/>
          <w:rtl/>
        </w:rPr>
        <w:t xml:space="preserve">פרוטוקול מיום </w:t>
      </w:r>
      <w:r w:rsidR="003A4A34" w:rsidRPr="00AF30EF">
        <w:rPr>
          <w:rFonts w:ascii="David" w:hAnsi="David" w:cs="David" w:hint="cs"/>
          <w:sz w:val="24"/>
          <w:szCs w:val="24"/>
          <w:rtl/>
        </w:rPr>
        <w:t xml:space="preserve">1.3.23 </w:t>
      </w:r>
      <w:r w:rsidRPr="00AF30EF">
        <w:rPr>
          <w:rFonts w:ascii="David" w:hAnsi="David" w:cs="David"/>
          <w:sz w:val="24"/>
          <w:szCs w:val="24"/>
          <w:rtl/>
        </w:rPr>
        <w:t>עמוד 71 שורות 34-36) וחזרה על אותה התשובה שוב בהמשך חקירתה (</w:t>
      </w:r>
      <w:r w:rsidR="003A4A34" w:rsidRPr="00AF30EF">
        <w:rPr>
          <w:rFonts w:ascii="David" w:hAnsi="David" w:cs="David" w:hint="cs"/>
          <w:sz w:val="24"/>
          <w:szCs w:val="24"/>
          <w:rtl/>
        </w:rPr>
        <w:t xml:space="preserve">ראו </w:t>
      </w:r>
      <w:r w:rsidRPr="00AF30EF">
        <w:rPr>
          <w:rFonts w:ascii="David" w:hAnsi="David" w:cs="David"/>
          <w:sz w:val="24"/>
          <w:szCs w:val="24"/>
          <w:rtl/>
        </w:rPr>
        <w:t>פרוטוקול מיום</w:t>
      </w:r>
      <w:r w:rsidR="003A4A34" w:rsidRPr="00AF30EF">
        <w:rPr>
          <w:rFonts w:ascii="David" w:hAnsi="David" w:cs="David" w:hint="cs"/>
          <w:sz w:val="24"/>
          <w:szCs w:val="24"/>
          <w:rtl/>
        </w:rPr>
        <w:t xml:space="preserve"> 1.3.23 </w:t>
      </w:r>
      <w:r w:rsidRPr="00AF30EF">
        <w:rPr>
          <w:rFonts w:ascii="David" w:hAnsi="David" w:cs="David"/>
          <w:sz w:val="24"/>
          <w:szCs w:val="24"/>
          <w:rtl/>
        </w:rPr>
        <w:t>עמוד 73 שורות 31-33).</w:t>
      </w:r>
    </w:p>
    <w:p w:rsidR="00120007" w:rsidRDefault="00120007" w:rsidP="00AF30EF">
      <w:pPr>
        <w:pStyle w:val="ad"/>
        <w:spacing w:line="240" w:lineRule="auto"/>
        <w:ind w:left="651" w:hanging="651"/>
        <w:jc w:val="both"/>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התובעים הביאו 3 עדים לתמוך בטענה זו, אולם לא היה בתצהיריהם ו/או בעדותם כדי לתמוך בטענה. ראשית יצוין שבאופן תמוה, שלושת תצהירי העדים היו כמעט זהים זה לזה. שנית, שלושת התצהירים מבוססים על הבנה אישית של המצהירים ואין הם מסתמכים על ראיות. שלישית, כל התצהירים מספרים על ידיעה/הבנה לכאורה מזיכרון של לפני כ- 30 שנה.</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כ</w:t>
      </w:r>
      <w:r w:rsidR="00866081">
        <w:rPr>
          <w:rFonts w:ascii="David" w:hAnsi="David" w:cs="David"/>
          <w:sz w:val="24"/>
          <w:szCs w:val="24"/>
          <w:rtl/>
        </w:rPr>
        <w:t>ך למשל טען העד מר א</w:t>
      </w:r>
      <w:r w:rsidR="00866081">
        <w:rPr>
          <w:rFonts w:ascii="David" w:hAnsi="David" w:cs="David" w:hint="cs"/>
          <w:sz w:val="24"/>
          <w:szCs w:val="24"/>
          <w:rtl/>
        </w:rPr>
        <w:t>' ב'</w:t>
      </w:r>
      <w:r>
        <w:rPr>
          <w:rFonts w:ascii="David" w:hAnsi="David" w:cs="David"/>
          <w:sz w:val="24"/>
          <w:szCs w:val="24"/>
          <w:rtl/>
        </w:rPr>
        <w:t xml:space="preserve"> בתצהירו: "</w:t>
      </w:r>
      <w:r>
        <w:rPr>
          <w:rFonts w:ascii="David" w:hAnsi="David" w:cs="David"/>
          <w:b/>
          <w:bCs/>
          <w:sz w:val="24"/>
          <w:szCs w:val="24"/>
          <w:rtl/>
        </w:rPr>
        <w:t>בהזדמנות זאת הי</w:t>
      </w:r>
      <w:r w:rsidR="00866081">
        <w:rPr>
          <w:rFonts w:ascii="David" w:hAnsi="David" w:cs="David"/>
          <w:b/>
          <w:bCs/>
          <w:sz w:val="24"/>
          <w:szCs w:val="24"/>
          <w:rtl/>
        </w:rPr>
        <w:t>א גם סיפרה לי שהיא והבן שלה ה</w:t>
      </w:r>
      <w:r w:rsidR="00866081">
        <w:rPr>
          <w:rFonts w:ascii="David" w:hAnsi="David" w:cs="David" w:hint="cs"/>
          <w:b/>
          <w:bCs/>
          <w:sz w:val="24"/>
          <w:szCs w:val="24"/>
          <w:rtl/>
        </w:rPr>
        <w:t>'</w:t>
      </w:r>
      <w:r w:rsidR="00866081">
        <w:rPr>
          <w:rFonts w:ascii="David" w:hAnsi="David" w:cs="David"/>
          <w:b/>
          <w:bCs/>
          <w:sz w:val="24"/>
          <w:szCs w:val="24"/>
          <w:rtl/>
        </w:rPr>
        <w:t xml:space="preserve"> החליפו דירות ביניהם באופן שה</w:t>
      </w:r>
      <w:r w:rsidR="00866081">
        <w:rPr>
          <w:rFonts w:ascii="David" w:hAnsi="David" w:cs="David" w:hint="cs"/>
          <w:b/>
          <w:bCs/>
          <w:sz w:val="24"/>
          <w:szCs w:val="24"/>
          <w:rtl/>
        </w:rPr>
        <w:t>'</w:t>
      </w:r>
      <w:r>
        <w:rPr>
          <w:rFonts w:ascii="David" w:hAnsi="David" w:cs="David"/>
          <w:b/>
          <w:bCs/>
          <w:sz w:val="24"/>
          <w:szCs w:val="24"/>
          <w:rtl/>
        </w:rPr>
        <w:t xml:space="preserve"> הגשים לה את חלומותיה וקנה לה דירה בעיר והיא נתנה לו בתמורה את הדירה בו</w:t>
      </w:r>
      <w:r w:rsidR="0029113D">
        <w:rPr>
          <w:rFonts w:ascii="David" w:hAnsi="David" w:cs="David" w:hint="cs"/>
          <w:b/>
          <w:bCs/>
          <w:sz w:val="24"/>
          <w:szCs w:val="24"/>
          <w:rtl/>
        </w:rPr>
        <w:t>ו</w:t>
      </w:r>
      <w:r>
        <w:rPr>
          <w:rFonts w:ascii="David" w:hAnsi="David" w:cs="David"/>
          <w:b/>
          <w:bCs/>
          <w:sz w:val="24"/>
          <w:szCs w:val="24"/>
          <w:rtl/>
        </w:rPr>
        <w:t>תיקים ובאופן שאני הבנתי שהם עשו ביניהם עסקת חליפין במקרקעין על כל המשתמע מכך</w:t>
      </w:r>
      <w:r>
        <w:rPr>
          <w:rFonts w:ascii="David" w:hAnsi="David" w:cs="David"/>
          <w:sz w:val="24"/>
          <w:szCs w:val="24"/>
          <w:rtl/>
        </w:rPr>
        <w:t>" – סעיף 8 לתצהיר. בעדותו נשאל והשיב כדלהלן:</w:t>
      </w:r>
    </w:p>
    <w:p w:rsidR="00120007" w:rsidRDefault="00120007" w:rsidP="00120007">
      <w:pPr>
        <w:ind w:left="651"/>
        <w:jc w:val="both"/>
        <w:rPr>
          <w:rFonts w:ascii="David" w:hAnsi="David"/>
          <w:b/>
          <w:bCs/>
        </w:rPr>
      </w:pPr>
      <w:r>
        <w:rPr>
          <w:rFonts w:ascii="David" w:hAnsi="David"/>
          <w:b/>
          <w:bCs/>
          <w:rtl/>
        </w:rPr>
        <w:t>"ש.</w:t>
      </w:r>
      <w:r>
        <w:rPr>
          <w:rFonts w:ascii="David" w:hAnsi="David"/>
          <w:b/>
          <w:bCs/>
          <w:rtl/>
        </w:rPr>
        <w:tab/>
        <w:t>התיק התחיל ב-09/20 אתה נתת את התצהיר ב-14/4/21, למה כל כך הרבה זמן אחרי?</w:t>
      </w:r>
    </w:p>
    <w:p w:rsidR="00120007" w:rsidRDefault="00120007" w:rsidP="00120007">
      <w:pPr>
        <w:ind w:left="651"/>
        <w:jc w:val="both"/>
        <w:rPr>
          <w:rFonts w:ascii="David" w:hAnsi="David"/>
          <w:b/>
          <w:bCs/>
          <w:rtl/>
        </w:rPr>
      </w:pPr>
      <w:r>
        <w:rPr>
          <w:rFonts w:ascii="David" w:hAnsi="David"/>
          <w:b/>
          <w:bCs/>
          <w:rtl/>
        </w:rPr>
        <w:t>ת.</w:t>
      </w:r>
      <w:r>
        <w:rPr>
          <w:rFonts w:ascii="David" w:hAnsi="David"/>
          <w:b/>
          <w:bCs/>
          <w:rtl/>
        </w:rPr>
        <w:tab/>
        <w:t xml:space="preserve">אתה חושב שכל יום אני הולך לעשות תצהירים. ברגע שנוצר תיק כזה וביקשו ממני לתת עדות אז נתתי בזמן שביקשו לא מתי שאני רוצה. </w:t>
      </w:r>
    </w:p>
    <w:p w:rsidR="00120007" w:rsidRDefault="00120007" w:rsidP="00120007">
      <w:pPr>
        <w:ind w:left="651"/>
        <w:jc w:val="both"/>
        <w:rPr>
          <w:rFonts w:ascii="David" w:hAnsi="David"/>
          <w:b/>
          <w:bCs/>
          <w:rtl/>
        </w:rPr>
      </w:pPr>
      <w:r>
        <w:rPr>
          <w:rFonts w:ascii="David" w:hAnsi="David"/>
          <w:b/>
          <w:bCs/>
          <w:rtl/>
        </w:rPr>
        <w:t>ש.</w:t>
      </w:r>
      <w:r>
        <w:rPr>
          <w:rFonts w:ascii="David" w:hAnsi="David"/>
          <w:b/>
          <w:bCs/>
          <w:rtl/>
        </w:rPr>
        <w:tab/>
        <w:t>מי ביקש ממך?</w:t>
      </w:r>
    </w:p>
    <w:p w:rsidR="00120007" w:rsidRDefault="00120007" w:rsidP="00120007">
      <w:pPr>
        <w:ind w:left="651"/>
        <w:jc w:val="both"/>
        <w:rPr>
          <w:rFonts w:ascii="David" w:hAnsi="David"/>
          <w:b/>
          <w:bCs/>
          <w:rtl/>
        </w:rPr>
      </w:pPr>
      <w:r>
        <w:rPr>
          <w:rFonts w:ascii="David" w:hAnsi="David"/>
          <w:b/>
          <w:bCs/>
          <w:rtl/>
        </w:rPr>
        <w:t>ת.</w:t>
      </w:r>
      <w:r>
        <w:rPr>
          <w:rFonts w:ascii="David" w:hAnsi="David"/>
          <w:b/>
          <w:bCs/>
          <w:rtl/>
        </w:rPr>
        <w:tab/>
        <w:t xml:space="preserve">עורך הדין שלהם. </w:t>
      </w:r>
    </w:p>
    <w:p w:rsidR="00120007" w:rsidRDefault="00120007" w:rsidP="00120007">
      <w:pPr>
        <w:ind w:left="651"/>
        <w:jc w:val="both"/>
        <w:rPr>
          <w:rFonts w:ascii="David" w:hAnsi="David"/>
          <w:b/>
          <w:bCs/>
          <w:rtl/>
        </w:rPr>
      </w:pPr>
      <w:r>
        <w:rPr>
          <w:rFonts w:ascii="David" w:hAnsi="David"/>
          <w:b/>
          <w:bCs/>
          <w:rtl/>
        </w:rPr>
        <w:t>ש.</w:t>
      </w:r>
      <w:r>
        <w:rPr>
          <w:rFonts w:ascii="David" w:hAnsi="David"/>
          <w:b/>
          <w:bCs/>
          <w:rtl/>
        </w:rPr>
        <w:tab/>
        <w:t>הוא סיפר לך למה הוא רוצה ממך תצהיר?</w:t>
      </w:r>
    </w:p>
    <w:p w:rsidR="00120007" w:rsidRDefault="00120007" w:rsidP="00120007">
      <w:pPr>
        <w:ind w:left="651"/>
        <w:jc w:val="both"/>
        <w:rPr>
          <w:rFonts w:ascii="David" w:hAnsi="David"/>
          <w:b/>
          <w:bCs/>
          <w:rtl/>
        </w:rPr>
      </w:pPr>
      <w:r>
        <w:rPr>
          <w:rFonts w:ascii="David" w:hAnsi="David"/>
          <w:b/>
          <w:bCs/>
          <w:rtl/>
        </w:rPr>
        <w:t>ת.</w:t>
      </w:r>
      <w:r>
        <w:rPr>
          <w:rFonts w:ascii="David" w:hAnsi="David"/>
          <w:b/>
          <w:bCs/>
          <w:rtl/>
        </w:rPr>
        <w:tab/>
        <w:t>אתה לא שואל שאלות רלבנטיות. הוא שאל אותי אם אני מכיר את המקרה, סיפרתי לו שכן והוא שאל אם אני יכול לתת</w:t>
      </w:r>
      <w:r w:rsidR="00866081">
        <w:rPr>
          <w:rFonts w:ascii="David" w:hAnsi="David"/>
          <w:b/>
          <w:bCs/>
          <w:rtl/>
        </w:rPr>
        <w:t xml:space="preserve"> תצהיר. המקרה שיש תביעה נגד ה</w:t>
      </w:r>
      <w:r w:rsidR="00866081">
        <w:rPr>
          <w:rFonts w:ascii="David" w:hAnsi="David" w:hint="cs"/>
          <w:b/>
          <w:bCs/>
          <w:rtl/>
        </w:rPr>
        <w:t>'</w:t>
      </w:r>
      <w:r>
        <w:rPr>
          <w:rFonts w:ascii="David" w:hAnsi="David"/>
          <w:b/>
          <w:bCs/>
          <w:rtl/>
        </w:rPr>
        <w:t xml:space="preserve">. שרוצים את הדירה. הם טוענים שהדירה שייכת להם. </w:t>
      </w:r>
    </w:p>
    <w:p w:rsidR="00120007" w:rsidRDefault="00120007" w:rsidP="00120007">
      <w:pPr>
        <w:ind w:left="651"/>
        <w:jc w:val="both"/>
        <w:rPr>
          <w:rFonts w:ascii="David" w:hAnsi="David"/>
          <w:b/>
          <w:bCs/>
          <w:rtl/>
        </w:rPr>
      </w:pPr>
      <w:r>
        <w:rPr>
          <w:rFonts w:ascii="David" w:hAnsi="David"/>
          <w:b/>
          <w:bCs/>
          <w:rtl/>
        </w:rPr>
        <w:t>ש.</w:t>
      </w:r>
      <w:r>
        <w:rPr>
          <w:rFonts w:ascii="David" w:hAnsi="David"/>
          <w:b/>
          <w:bCs/>
          <w:rtl/>
        </w:rPr>
        <w:tab/>
        <w:t>מכוח מה?</w:t>
      </w:r>
    </w:p>
    <w:p w:rsidR="00120007" w:rsidRDefault="00120007" w:rsidP="00120007">
      <w:pPr>
        <w:ind w:left="651"/>
        <w:jc w:val="both"/>
        <w:rPr>
          <w:rFonts w:ascii="David" w:hAnsi="David"/>
          <w:b/>
          <w:bCs/>
          <w:rtl/>
        </w:rPr>
      </w:pPr>
      <w:r>
        <w:rPr>
          <w:rFonts w:ascii="David" w:hAnsi="David"/>
          <w:b/>
          <w:bCs/>
          <w:rtl/>
        </w:rPr>
        <w:t>ת.</w:t>
      </w:r>
      <w:r>
        <w:rPr>
          <w:rFonts w:ascii="David" w:hAnsi="David"/>
          <w:b/>
          <w:bCs/>
          <w:rtl/>
        </w:rPr>
        <w:tab/>
        <w:t xml:space="preserve">מכוח זה שהם דורשים. אני אומר, לי היה משרד סמוך לתחנה מרכזית של </w:t>
      </w:r>
      <w:r w:rsidR="00EE0F14">
        <w:rPr>
          <w:rFonts w:ascii="David" w:hAnsi="David"/>
          <w:b/>
          <w:bCs/>
        </w:rPr>
        <w:t>xxx</w:t>
      </w:r>
      <w:r>
        <w:rPr>
          <w:rFonts w:ascii="David" w:hAnsi="David"/>
          <w:b/>
          <w:bCs/>
          <w:rtl/>
        </w:rPr>
        <w:t xml:space="preserve">. מידי פעם הייתי יורד למטה לאכול במסעדה של אגד. אימא שלהם עבדה כמלצרית שם. הרבה פעמים היא אמרה למסובים, זה אח של בעלי, אני לא כל כך אהבתי לשמוע את זה. יום אחד היא התקרבה אלי ואמרה לי, אני פוחדת </w:t>
      </w:r>
      <w:r w:rsidR="00866081">
        <w:rPr>
          <w:rFonts w:ascii="David" w:hAnsi="David"/>
          <w:b/>
          <w:bCs/>
          <w:rtl/>
        </w:rPr>
        <w:t>לגור בוותיקים, אני דברתי עם ה</w:t>
      </w:r>
      <w:r w:rsidR="00866081">
        <w:rPr>
          <w:rFonts w:ascii="David" w:hAnsi="David" w:hint="cs"/>
          <w:b/>
          <w:bCs/>
          <w:rtl/>
        </w:rPr>
        <w:t>'</w:t>
      </w:r>
      <w:r w:rsidR="00866081">
        <w:rPr>
          <w:rFonts w:ascii="David" w:hAnsi="David"/>
          <w:b/>
          <w:bCs/>
          <w:rtl/>
        </w:rPr>
        <w:t xml:space="preserve"> וה</w:t>
      </w:r>
      <w:r w:rsidR="00866081">
        <w:rPr>
          <w:rFonts w:ascii="David" w:hAnsi="David" w:hint="cs"/>
          <w:b/>
          <w:bCs/>
          <w:rtl/>
        </w:rPr>
        <w:t>'</w:t>
      </w:r>
      <w:r>
        <w:rPr>
          <w:rFonts w:ascii="David" w:hAnsi="David"/>
          <w:b/>
          <w:bCs/>
          <w:rtl/>
        </w:rPr>
        <w:t xml:space="preserve"> קנה לי דירה בעיר ואני לא רוצה להיות בפריפריה. הדירה קרובה לקופת חולים ולשוק וטוב לי עכשיו להיות בעיר. בוותיקים אני מפחדת לגור. זה מה שהיא אמרה לי. </w:t>
      </w:r>
    </w:p>
    <w:p w:rsidR="00120007" w:rsidRDefault="00120007" w:rsidP="00120007">
      <w:pPr>
        <w:ind w:left="651"/>
        <w:jc w:val="both"/>
        <w:rPr>
          <w:rFonts w:ascii="David" w:hAnsi="David"/>
          <w:b/>
          <w:bCs/>
          <w:rtl/>
        </w:rPr>
      </w:pPr>
      <w:r>
        <w:rPr>
          <w:rFonts w:ascii="David" w:hAnsi="David"/>
          <w:b/>
          <w:bCs/>
          <w:rtl/>
        </w:rPr>
        <w:t>ש.</w:t>
      </w:r>
      <w:r>
        <w:rPr>
          <w:rFonts w:ascii="David" w:hAnsi="David"/>
          <w:b/>
          <w:bCs/>
          <w:rtl/>
        </w:rPr>
        <w:tab/>
        <w:t>מתי היא אמרה לך את זה?</w:t>
      </w:r>
    </w:p>
    <w:p w:rsidR="00120007" w:rsidRDefault="00120007" w:rsidP="00120007">
      <w:pPr>
        <w:ind w:left="651"/>
        <w:jc w:val="both"/>
        <w:rPr>
          <w:rFonts w:ascii="David" w:hAnsi="David"/>
          <w:b/>
          <w:bCs/>
          <w:rtl/>
        </w:rPr>
      </w:pPr>
      <w:r>
        <w:rPr>
          <w:rFonts w:ascii="David" w:hAnsi="David"/>
          <w:b/>
          <w:bCs/>
          <w:rtl/>
        </w:rPr>
        <w:lastRenderedPageBreak/>
        <w:t>ת.</w:t>
      </w:r>
      <w:r>
        <w:rPr>
          <w:rFonts w:ascii="David" w:hAnsi="David"/>
          <w:b/>
          <w:bCs/>
          <w:rtl/>
        </w:rPr>
        <w:tab/>
        <w:t xml:space="preserve">בערך ב-1994. </w:t>
      </w:r>
    </w:p>
    <w:p w:rsidR="00120007" w:rsidRDefault="00120007" w:rsidP="00120007">
      <w:pPr>
        <w:ind w:left="651"/>
        <w:jc w:val="both"/>
        <w:rPr>
          <w:rFonts w:ascii="David" w:hAnsi="David"/>
          <w:b/>
          <w:bCs/>
          <w:rtl/>
        </w:rPr>
      </w:pPr>
      <w:r>
        <w:rPr>
          <w:rFonts w:ascii="David" w:hAnsi="David"/>
          <w:b/>
          <w:bCs/>
          <w:rtl/>
        </w:rPr>
        <w:t>ש.</w:t>
      </w:r>
      <w:r>
        <w:rPr>
          <w:rFonts w:ascii="David" w:hAnsi="David"/>
          <w:b/>
          <w:bCs/>
          <w:rtl/>
        </w:rPr>
        <w:tab/>
        <w:t xml:space="preserve">זאת אומרת מה שאתה מספר כאן, אתה מספר את זה ב-2021 ואתה מצטט שיחה של 27 שנים קודם. </w:t>
      </w:r>
    </w:p>
    <w:p w:rsidR="00120007" w:rsidRDefault="00120007" w:rsidP="00120007">
      <w:pPr>
        <w:ind w:left="651"/>
        <w:jc w:val="both"/>
        <w:rPr>
          <w:rFonts w:ascii="David" w:hAnsi="David"/>
          <w:b/>
          <w:bCs/>
          <w:rtl/>
        </w:rPr>
      </w:pPr>
      <w:r>
        <w:rPr>
          <w:rFonts w:ascii="David" w:hAnsi="David"/>
          <w:b/>
          <w:bCs/>
          <w:rtl/>
        </w:rPr>
        <w:t>ת.</w:t>
      </w:r>
      <w:r>
        <w:rPr>
          <w:rFonts w:ascii="David" w:hAnsi="David"/>
          <w:b/>
          <w:bCs/>
          <w:rtl/>
        </w:rPr>
        <w:tab/>
        <w:t xml:space="preserve">יכול להיות." </w:t>
      </w:r>
    </w:p>
    <w:p w:rsidR="00120007" w:rsidRPr="00191747" w:rsidRDefault="00120007" w:rsidP="00120007">
      <w:pPr>
        <w:pStyle w:val="ad"/>
        <w:ind w:left="651" w:firstLine="69"/>
        <w:rPr>
          <w:rFonts w:ascii="David" w:hAnsi="David" w:cs="David"/>
          <w:sz w:val="24"/>
          <w:szCs w:val="24"/>
          <w:rtl/>
        </w:rPr>
      </w:pPr>
      <w:r w:rsidRPr="00191747">
        <w:rPr>
          <w:rFonts w:ascii="David" w:hAnsi="David" w:cs="David"/>
          <w:sz w:val="24"/>
          <w:szCs w:val="24"/>
          <w:rtl/>
        </w:rPr>
        <w:t>[ראו פרוטוקול דיון מיום 18.12.22 עמ' 27 שורות 13-23]</w:t>
      </w:r>
    </w:p>
    <w:p w:rsidR="00120007" w:rsidRDefault="00120007" w:rsidP="00AF30EF">
      <w:pPr>
        <w:pStyle w:val="ad"/>
        <w:spacing w:line="240" w:lineRule="auto"/>
        <w:ind w:left="651" w:hanging="651"/>
        <w:jc w:val="both"/>
        <w:rPr>
          <w:rFonts w:ascii="David" w:hAnsi="David" w:cs="David"/>
          <w:sz w:val="24"/>
          <w:szCs w:val="24"/>
          <w:highlight w:val="yellow"/>
          <w:rtl/>
        </w:rPr>
      </w:pPr>
    </w:p>
    <w:p w:rsidR="00120007" w:rsidRDefault="00120007" w:rsidP="00120007">
      <w:pPr>
        <w:pStyle w:val="ad"/>
        <w:spacing w:line="360" w:lineRule="auto"/>
        <w:ind w:left="651" w:hanging="651"/>
        <w:jc w:val="both"/>
        <w:rPr>
          <w:rFonts w:ascii="David" w:hAnsi="David" w:cs="David"/>
          <w:sz w:val="24"/>
          <w:szCs w:val="24"/>
          <w:rtl/>
        </w:rPr>
      </w:pPr>
      <w:r>
        <w:rPr>
          <w:rFonts w:ascii="David" w:hAnsi="David" w:cs="David"/>
          <w:sz w:val="24"/>
          <w:szCs w:val="24"/>
          <w:rtl/>
        </w:rPr>
        <w:t>ובהמשך:</w:t>
      </w:r>
    </w:p>
    <w:p w:rsidR="00120007" w:rsidRDefault="00120007" w:rsidP="00120007">
      <w:pPr>
        <w:ind w:left="651"/>
        <w:jc w:val="both"/>
        <w:rPr>
          <w:rFonts w:ascii="David" w:hAnsi="David"/>
          <w:b/>
          <w:bCs/>
          <w:rtl/>
        </w:rPr>
      </w:pPr>
      <w:r>
        <w:rPr>
          <w:rFonts w:ascii="David" w:hAnsi="David"/>
          <w:b/>
          <w:bCs/>
          <w:rtl/>
        </w:rPr>
        <w:t>"ש.</w:t>
      </w:r>
      <w:r>
        <w:rPr>
          <w:rFonts w:ascii="David" w:hAnsi="David"/>
          <w:b/>
          <w:bCs/>
          <w:rtl/>
        </w:rPr>
        <w:tab/>
        <w:t>אתה זוכר מי שמע את השיחה?</w:t>
      </w:r>
    </w:p>
    <w:p w:rsidR="00120007" w:rsidRDefault="00120007" w:rsidP="00120007">
      <w:pPr>
        <w:ind w:left="651"/>
        <w:jc w:val="both"/>
        <w:rPr>
          <w:rFonts w:ascii="David" w:hAnsi="David"/>
          <w:b/>
          <w:bCs/>
          <w:rtl/>
        </w:rPr>
      </w:pPr>
      <w:r>
        <w:rPr>
          <w:rFonts w:ascii="David" w:hAnsi="David"/>
          <w:b/>
          <w:bCs/>
          <w:rtl/>
        </w:rPr>
        <w:t>ת.</w:t>
      </w:r>
      <w:r>
        <w:rPr>
          <w:rFonts w:ascii="David" w:hAnsi="David"/>
          <w:b/>
          <w:bCs/>
          <w:rtl/>
        </w:rPr>
        <w:tab/>
        <w:t>אני לא יודע. היא דברה איתי באופן אישי. "</w:t>
      </w:r>
    </w:p>
    <w:p w:rsidR="00120007" w:rsidRPr="00191747" w:rsidRDefault="00120007" w:rsidP="00120007">
      <w:pPr>
        <w:pStyle w:val="ad"/>
        <w:ind w:left="651"/>
        <w:rPr>
          <w:rFonts w:ascii="David" w:hAnsi="David" w:cs="David"/>
          <w:sz w:val="24"/>
          <w:szCs w:val="24"/>
          <w:rtl/>
        </w:rPr>
      </w:pPr>
      <w:r w:rsidRPr="00191747">
        <w:rPr>
          <w:rFonts w:ascii="David" w:hAnsi="David" w:cs="David"/>
          <w:sz w:val="24"/>
          <w:szCs w:val="24"/>
          <w:rtl/>
        </w:rPr>
        <w:t>[ראו פרוטוקול דיון מיום 18.12.22 עמ' 28 שורות 1-2]</w:t>
      </w:r>
    </w:p>
    <w:p w:rsidR="00120007" w:rsidRDefault="00120007" w:rsidP="00AF30EF">
      <w:pPr>
        <w:pStyle w:val="ad"/>
        <w:spacing w:line="240" w:lineRule="auto"/>
        <w:ind w:left="651" w:hanging="651"/>
        <w:jc w:val="both"/>
        <w:rPr>
          <w:rFonts w:ascii="David" w:hAnsi="David" w:cs="David"/>
          <w:sz w:val="24"/>
          <w:szCs w:val="24"/>
          <w:highlight w:val="yellow"/>
          <w:rtl/>
        </w:rPr>
      </w:pPr>
    </w:p>
    <w:p w:rsidR="00120007" w:rsidRDefault="00120007" w:rsidP="00120007">
      <w:pPr>
        <w:pStyle w:val="ad"/>
        <w:ind w:left="651" w:hanging="651"/>
        <w:rPr>
          <w:rFonts w:ascii="David" w:hAnsi="David" w:cs="David"/>
          <w:sz w:val="24"/>
          <w:szCs w:val="24"/>
          <w:rtl/>
        </w:rPr>
      </w:pPr>
      <w:r>
        <w:rPr>
          <w:rFonts w:ascii="David" w:hAnsi="David" w:cs="David"/>
          <w:sz w:val="24"/>
          <w:szCs w:val="24"/>
          <w:rtl/>
        </w:rPr>
        <w:t>ובהמשך:</w:t>
      </w:r>
    </w:p>
    <w:p w:rsidR="00120007" w:rsidRDefault="00120007" w:rsidP="00120007">
      <w:pPr>
        <w:ind w:left="651"/>
        <w:jc w:val="both"/>
        <w:rPr>
          <w:rFonts w:ascii="David" w:hAnsi="David"/>
          <w:b/>
          <w:bCs/>
          <w:rtl/>
        </w:rPr>
      </w:pPr>
      <w:r>
        <w:rPr>
          <w:rFonts w:ascii="David" w:hAnsi="David"/>
          <w:b/>
          <w:bCs/>
          <w:rtl/>
        </w:rPr>
        <w:t>"ש.</w:t>
      </w:r>
      <w:r>
        <w:rPr>
          <w:rFonts w:ascii="David" w:hAnsi="David"/>
          <w:b/>
          <w:bCs/>
          <w:rtl/>
        </w:rPr>
        <w:tab/>
        <w:t>לפני שניה אמרת שהם לא ידעו ואתה לא יודע אם אמרת להם, בתצהיר אתה כותב שהם ידעו ושמחו, למה כתבת את זה ועכשיו אתה אומר ככה?</w:t>
      </w:r>
    </w:p>
    <w:p w:rsidR="00120007" w:rsidRDefault="00120007" w:rsidP="00120007">
      <w:pPr>
        <w:ind w:left="651"/>
        <w:jc w:val="both"/>
        <w:rPr>
          <w:rFonts w:ascii="David" w:hAnsi="David"/>
          <w:b/>
          <w:bCs/>
          <w:rtl/>
        </w:rPr>
      </w:pPr>
      <w:r>
        <w:rPr>
          <w:rFonts w:ascii="David" w:hAnsi="David"/>
          <w:b/>
          <w:bCs/>
          <w:rtl/>
        </w:rPr>
        <w:t>ת.</w:t>
      </w:r>
      <w:r>
        <w:rPr>
          <w:rFonts w:ascii="David" w:hAnsi="David"/>
          <w:b/>
          <w:bCs/>
          <w:rtl/>
        </w:rPr>
        <w:tab/>
        <w:t xml:space="preserve">אף פעם לא פגשתי מישהו מהם שאמר לי שהוא מתנגד. הם לא אמרו לי כלום. יכול להיות שהם לא ידעו. </w:t>
      </w:r>
    </w:p>
    <w:p w:rsidR="00120007" w:rsidRDefault="00120007" w:rsidP="00120007">
      <w:pPr>
        <w:ind w:left="651"/>
        <w:jc w:val="both"/>
        <w:rPr>
          <w:rFonts w:ascii="David" w:hAnsi="David"/>
          <w:b/>
          <w:bCs/>
          <w:rtl/>
        </w:rPr>
      </w:pPr>
      <w:r>
        <w:rPr>
          <w:rFonts w:ascii="David" w:hAnsi="David"/>
          <w:b/>
          <w:bCs/>
          <w:rtl/>
        </w:rPr>
        <w:t>ש.</w:t>
      </w:r>
      <w:r>
        <w:rPr>
          <w:rFonts w:ascii="David" w:hAnsi="David"/>
          <w:b/>
          <w:bCs/>
          <w:rtl/>
        </w:rPr>
        <w:tab/>
        <w:t>על סמך מה אתה יודע שהם מא</w:t>
      </w:r>
      <w:r w:rsidR="00866081">
        <w:rPr>
          <w:rFonts w:ascii="David" w:hAnsi="David"/>
          <w:b/>
          <w:bCs/>
          <w:rtl/>
        </w:rPr>
        <w:t>וד שמחו שהאימא עברה לדירה ב</w:t>
      </w:r>
      <w:r w:rsidR="00866081">
        <w:rPr>
          <w:rFonts w:ascii="David" w:hAnsi="David"/>
          <w:b/>
          <w:bCs/>
        </w:rPr>
        <w:t>xxx</w:t>
      </w:r>
      <w:r>
        <w:rPr>
          <w:rFonts w:ascii="David" w:hAnsi="David"/>
          <w:b/>
          <w:bCs/>
          <w:rtl/>
        </w:rPr>
        <w:t>?</w:t>
      </w:r>
    </w:p>
    <w:p w:rsidR="00120007" w:rsidRDefault="00120007" w:rsidP="00120007">
      <w:pPr>
        <w:ind w:left="651"/>
        <w:jc w:val="both"/>
        <w:rPr>
          <w:rFonts w:ascii="David" w:hAnsi="David"/>
          <w:b/>
          <w:bCs/>
          <w:rtl/>
        </w:rPr>
      </w:pPr>
      <w:r>
        <w:rPr>
          <w:rFonts w:ascii="David" w:hAnsi="David"/>
          <w:b/>
          <w:bCs/>
          <w:rtl/>
        </w:rPr>
        <w:t>ת.</w:t>
      </w:r>
      <w:r>
        <w:rPr>
          <w:rFonts w:ascii="David" w:hAnsi="David"/>
          <w:b/>
          <w:bCs/>
          <w:rtl/>
        </w:rPr>
        <w:tab/>
        <w:t>האימא בעצמה אמרה לי, עכשיו אני שמחה, אני קרובה לקופת חולים. הם ראו שאימא שלהם מזדקנת. האימא אמרה לי שהילדים שלה שמחים. "</w:t>
      </w:r>
    </w:p>
    <w:p w:rsidR="00120007" w:rsidRPr="00191747" w:rsidRDefault="00120007" w:rsidP="00120007">
      <w:pPr>
        <w:pStyle w:val="ad"/>
        <w:ind w:left="651"/>
        <w:rPr>
          <w:rFonts w:ascii="David" w:hAnsi="David" w:cs="David"/>
          <w:sz w:val="24"/>
          <w:szCs w:val="24"/>
          <w:rtl/>
        </w:rPr>
      </w:pPr>
      <w:r w:rsidRPr="00191747">
        <w:rPr>
          <w:rFonts w:ascii="David" w:hAnsi="David" w:cs="David"/>
          <w:sz w:val="24"/>
          <w:szCs w:val="24"/>
          <w:rtl/>
        </w:rPr>
        <w:t>[ראו פרוטוקול דיון מיום 18.12.22 עמ' 29 שורות 6-12]</w:t>
      </w:r>
    </w:p>
    <w:p w:rsidR="00AF30EF" w:rsidRDefault="00AF30EF" w:rsidP="00AF30EF">
      <w:pPr>
        <w:pStyle w:val="ad"/>
        <w:spacing w:line="240" w:lineRule="auto"/>
        <w:ind w:left="651"/>
        <w:jc w:val="both"/>
        <w:rPr>
          <w:rFonts w:ascii="David" w:hAnsi="David" w:cs="David"/>
          <w:sz w:val="24"/>
          <w:szCs w:val="24"/>
          <w:rtl/>
        </w:rPr>
      </w:pPr>
    </w:p>
    <w:p w:rsidR="0029113D" w:rsidRDefault="0029113D" w:rsidP="0029113D">
      <w:pPr>
        <w:pStyle w:val="ad"/>
        <w:spacing w:line="240" w:lineRule="auto"/>
        <w:ind w:left="651"/>
        <w:jc w:val="both"/>
        <w:rPr>
          <w:rFonts w:ascii="David" w:hAnsi="David" w:cs="David"/>
          <w:sz w:val="24"/>
          <w:szCs w:val="24"/>
        </w:rPr>
      </w:pPr>
    </w:p>
    <w:p w:rsidR="00120007" w:rsidRPr="00191747" w:rsidRDefault="00866081" w:rsidP="00866081">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נוכח היותו של מר א</w:t>
      </w:r>
      <w:r>
        <w:rPr>
          <w:rFonts w:ascii="David" w:hAnsi="David" w:cs="David" w:hint="cs"/>
          <w:sz w:val="24"/>
          <w:szCs w:val="24"/>
          <w:rtl/>
        </w:rPr>
        <w:t>'</w:t>
      </w:r>
      <w:r>
        <w:rPr>
          <w:rFonts w:ascii="David" w:hAnsi="David" w:cs="David"/>
          <w:sz w:val="24"/>
          <w:szCs w:val="24"/>
          <w:rtl/>
        </w:rPr>
        <w:t xml:space="preserve"> ב</w:t>
      </w:r>
      <w:r>
        <w:rPr>
          <w:rFonts w:ascii="David" w:hAnsi="David" w:cs="David" w:hint="cs"/>
          <w:sz w:val="24"/>
          <w:szCs w:val="24"/>
          <w:rtl/>
        </w:rPr>
        <w:t>'</w:t>
      </w:r>
      <w:r w:rsidR="00120007">
        <w:rPr>
          <w:rFonts w:ascii="David" w:hAnsi="David" w:cs="David"/>
          <w:sz w:val="24"/>
          <w:szCs w:val="24"/>
          <w:rtl/>
        </w:rPr>
        <w:t xml:space="preserve"> עו"ד במקצועו, נשאל הוא על ידי בית המשפט בקשר לתצהירו אודות דרישת הכתב, והוא השיב "</w:t>
      </w:r>
      <w:r>
        <w:rPr>
          <w:rFonts w:ascii="David" w:hAnsi="David" w:cs="David"/>
          <w:b/>
          <w:bCs/>
          <w:sz w:val="24"/>
          <w:szCs w:val="24"/>
          <w:rtl/>
        </w:rPr>
        <w:t>יכול להיות שאמרתי לה</w:t>
      </w:r>
      <w:r>
        <w:rPr>
          <w:rFonts w:ascii="David" w:hAnsi="David" w:cs="David" w:hint="cs"/>
          <w:b/>
          <w:bCs/>
          <w:sz w:val="24"/>
          <w:szCs w:val="24"/>
          <w:rtl/>
        </w:rPr>
        <w:t>'</w:t>
      </w:r>
      <w:r w:rsidR="00120007">
        <w:rPr>
          <w:rFonts w:ascii="David" w:hAnsi="David" w:cs="David"/>
          <w:b/>
          <w:bCs/>
          <w:sz w:val="24"/>
          <w:szCs w:val="24"/>
          <w:rtl/>
        </w:rPr>
        <w:t>, אבל הוא לא ביצע</w:t>
      </w:r>
      <w:r w:rsidR="00120007">
        <w:rPr>
          <w:rFonts w:ascii="David" w:hAnsi="David" w:cs="David"/>
          <w:sz w:val="24"/>
          <w:szCs w:val="24"/>
          <w:rtl/>
        </w:rPr>
        <w:t xml:space="preserve">" </w:t>
      </w:r>
      <w:r w:rsidR="00120007" w:rsidRPr="00191747">
        <w:rPr>
          <w:rFonts w:ascii="David" w:hAnsi="David" w:cs="David"/>
          <w:sz w:val="24"/>
          <w:szCs w:val="24"/>
          <w:rtl/>
        </w:rPr>
        <w:t>(</w:t>
      </w:r>
      <w:r w:rsidR="0029113D">
        <w:rPr>
          <w:rFonts w:ascii="David" w:hAnsi="David" w:cs="David" w:hint="cs"/>
          <w:sz w:val="24"/>
          <w:szCs w:val="24"/>
          <w:rtl/>
        </w:rPr>
        <w:t>ראו</w:t>
      </w:r>
      <w:r w:rsidR="004C497E">
        <w:rPr>
          <w:rFonts w:ascii="David" w:hAnsi="David" w:cs="David" w:hint="cs"/>
          <w:sz w:val="24"/>
          <w:szCs w:val="24"/>
          <w:rtl/>
        </w:rPr>
        <w:t xml:space="preserve"> </w:t>
      </w:r>
      <w:r w:rsidR="00120007" w:rsidRPr="00191747">
        <w:rPr>
          <w:rFonts w:ascii="David" w:hAnsi="David" w:cs="David"/>
          <w:sz w:val="24"/>
          <w:szCs w:val="24"/>
          <w:rtl/>
        </w:rPr>
        <w:t>פרוטוקול דיון מיום 18.12.22 עמוד 29 שורות 23-24).</w:t>
      </w:r>
    </w:p>
    <w:p w:rsidR="00120007" w:rsidRDefault="00120007" w:rsidP="00120007">
      <w:pPr>
        <w:pStyle w:val="ad"/>
        <w:ind w:left="651" w:hanging="651"/>
        <w:rPr>
          <w:rFonts w:ascii="David" w:hAnsi="David" w:cs="David"/>
          <w:sz w:val="24"/>
          <w:szCs w:val="24"/>
        </w:rPr>
      </w:pPr>
    </w:p>
    <w:p w:rsidR="00120007" w:rsidRDefault="00866081"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גם העדה הגב' ס</w:t>
      </w:r>
      <w:r>
        <w:rPr>
          <w:rFonts w:ascii="David" w:hAnsi="David" w:cs="David" w:hint="cs"/>
          <w:sz w:val="24"/>
          <w:szCs w:val="24"/>
          <w:rtl/>
        </w:rPr>
        <w:t>'</w:t>
      </w:r>
      <w:r w:rsidR="00120007">
        <w:rPr>
          <w:rFonts w:ascii="David" w:hAnsi="David" w:cs="David"/>
          <w:sz w:val="24"/>
          <w:szCs w:val="24"/>
          <w:rtl/>
        </w:rPr>
        <w:t xml:space="preserve"> נשאלה לגבי תצהירה, ובעיקר לגבי השאלה מנין הניחה שהנתבעים יודעים אודות עסקת החליפין, ותשובתה עסקה יותר בשמחה של המנוחה על החלפת הדירות, אולם לא היה בה כדי לתמוך בטענה כי מדובר היה בעסקת חליפין:</w:t>
      </w:r>
    </w:p>
    <w:p w:rsidR="00120007" w:rsidRDefault="00120007" w:rsidP="00120007">
      <w:pPr>
        <w:ind w:left="651"/>
        <w:jc w:val="both"/>
        <w:rPr>
          <w:rFonts w:ascii="David" w:hAnsi="David"/>
          <w:b/>
          <w:bCs/>
        </w:rPr>
      </w:pPr>
      <w:r>
        <w:rPr>
          <w:rFonts w:ascii="David" w:hAnsi="David"/>
          <w:b/>
          <w:bCs/>
          <w:rtl/>
        </w:rPr>
        <w:t>"ש. בשנת 1992 יכול להיות?</w:t>
      </w:r>
    </w:p>
    <w:p w:rsidR="00120007" w:rsidRDefault="00120007" w:rsidP="00120007">
      <w:pPr>
        <w:ind w:left="651"/>
        <w:jc w:val="both"/>
        <w:rPr>
          <w:rFonts w:ascii="David" w:hAnsi="David"/>
          <w:b/>
          <w:bCs/>
          <w:rtl/>
        </w:rPr>
      </w:pPr>
      <w:r>
        <w:rPr>
          <w:rFonts w:ascii="David" w:hAnsi="David"/>
          <w:b/>
          <w:bCs/>
          <w:rtl/>
        </w:rPr>
        <w:t>ת. יכול להיות.  זה ביקור אצל דודה . שמעתי א</w:t>
      </w:r>
      <w:r w:rsidR="00866081">
        <w:rPr>
          <w:rFonts w:ascii="David" w:hAnsi="David"/>
          <w:b/>
          <w:bCs/>
          <w:rtl/>
        </w:rPr>
        <w:t>ת זה כמה פעמים. אנחנו גרים ב</w:t>
      </w:r>
      <w:r w:rsidR="00866081">
        <w:rPr>
          <w:rFonts w:ascii="David" w:hAnsi="David"/>
          <w:b/>
          <w:bCs/>
        </w:rPr>
        <w:t>xxx</w:t>
      </w:r>
      <w:r w:rsidR="00866081">
        <w:rPr>
          <w:rFonts w:ascii="David" w:hAnsi="David"/>
          <w:b/>
          <w:bCs/>
          <w:rtl/>
        </w:rPr>
        <w:t xml:space="preserve"> והם גרים בותיקים, כשד</w:t>
      </w:r>
      <w:r w:rsidR="00866081">
        <w:rPr>
          <w:rFonts w:ascii="David" w:hAnsi="David" w:hint="cs"/>
          <w:b/>
          <w:bCs/>
          <w:rtl/>
        </w:rPr>
        <w:t>'</w:t>
      </w:r>
      <w:r>
        <w:rPr>
          <w:rFonts w:ascii="David" w:hAnsi="David"/>
          <w:b/>
          <w:bCs/>
          <w:rtl/>
        </w:rPr>
        <w:t xml:space="preserve"> היתה מגיעה מאמריקה אז היינו הולכים לפגוש את הדודה מאמריקה. ישבנו ותוך כדי הקפה והשתיה היא דיברה עם אמא שלי בערבית, היא אמרה נמאס לי מהבית. אני מדברת ערבי</w:t>
      </w:r>
      <w:r w:rsidR="00866081">
        <w:rPr>
          <w:rFonts w:ascii="David" w:hAnsi="David"/>
          <w:b/>
          <w:bCs/>
          <w:rtl/>
        </w:rPr>
        <w:t>ת. הבנתי את השיחה. היא אמרה ה</w:t>
      </w:r>
      <w:r w:rsidR="00866081">
        <w:rPr>
          <w:rFonts w:ascii="David" w:hAnsi="David" w:hint="cs"/>
          <w:b/>
          <w:bCs/>
          <w:rtl/>
        </w:rPr>
        <w:t>'</w:t>
      </w:r>
      <w:r>
        <w:rPr>
          <w:rFonts w:ascii="David" w:hAnsi="David"/>
          <w:b/>
          <w:bCs/>
          <w:rtl/>
        </w:rPr>
        <w:t xml:space="preserve"> קנה דירה עוד מעט אגור בעיר, ליד השוק, ליד קופ"ח. שמעתי את זה 4-5 פעמים לפחות.  היא אמרה את זה לאמא שלי ולמי שהיה שם. </w:t>
      </w:r>
    </w:p>
    <w:p w:rsidR="00120007" w:rsidRDefault="00120007" w:rsidP="00120007">
      <w:pPr>
        <w:ind w:left="651"/>
        <w:jc w:val="both"/>
        <w:rPr>
          <w:rFonts w:ascii="David" w:hAnsi="David"/>
          <w:b/>
          <w:bCs/>
          <w:rtl/>
        </w:rPr>
      </w:pPr>
      <w:r>
        <w:rPr>
          <w:rFonts w:ascii="David" w:hAnsi="David"/>
          <w:b/>
          <w:bCs/>
          <w:rtl/>
        </w:rPr>
        <w:t>ש. מי שמע חוץ ממך וגם מבין ערבית? אמא שלך שמעה, את שמעת ומי עוד?</w:t>
      </w:r>
    </w:p>
    <w:p w:rsidR="00120007" w:rsidRDefault="00120007" w:rsidP="00120007">
      <w:pPr>
        <w:ind w:left="651"/>
        <w:jc w:val="both"/>
        <w:rPr>
          <w:rFonts w:ascii="David" w:hAnsi="David"/>
          <w:b/>
          <w:bCs/>
          <w:rtl/>
        </w:rPr>
      </w:pPr>
      <w:r>
        <w:rPr>
          <w:rFonts w:ascii="David" w:hAnsi="David"/>
          <w:b/>
          <w:bCs/>
          <w:rtl/>
        </w:rPr>
        <w:t>ת. שמעה את זה דודה שלי, שנורא רצתה לבוא להעיד, היא לא הגיעה כי היא במצב</w:t>
      </w:r>
      <w:r w:rsidR="00866081">
        <w:rPr>
          <w:rFonts w:ascii="David" w:hAnsi="David"/>
          <w:b/>
          <w:bCs/>
          <w:rtl/>
        </w:rPr>
        <w:t xml:space="preserve">  בריאותי לא טוב. קוראים לה ר</w:t>
      </w:r>
      <w:r w:rsidR="00866081">
        <w:rPr>
          <w:rFonts w:ascii="David" w:hAnsi="David" w:hint="cs"/>
          <w:b/>
          <w:bCs/>
          <w:rtl/>
        </w:rPr>
        <w:t>'</w:t>
      </w:r>
      <w:r w:rsidR="00866081">
        <w:rPr>
          <w:rFonts w:ascii="David" w:hAnsi="David"/>
          <w:b/>
          <w:bCs/>
          <w:rtl/>
        </w:rPr>
        <w:t xml:space="preserve"> ת</w:t>
      </w:r>
      <w:r w:rsidR="00866081">
        <w:rPr>
          <w:rFonts w:ascii="David" w:hAnsi="David" w:hint="cs"/>
          <w:b/>
          <w:bCs/>
          <w:rtl/>
        </w:rPr>
        <w:t>'</w:t>
      </w:r>
      <w:r>
        <w:rPr>
          <w:rFonts w:ascii="David" w:hAnsi="David"/>
          <w:b/>
          <w:bCs/>
          <w:rtl/>
        </w:rPr>
        <w:t xml:space="preserve">. </w:t>
      </w:r>
    </w:p>
    <w:p w:rsidR="00120007" w:rsidRDefault="00120007" w:rsidP="00120007">
      <w:pPr>
        <w:ind w:left="651"/>
        <w:jc w:val="both"/>
        <w:rPr>
          <w:rFonts w:ascii="David" w:hAnsi="David"/>
          <w:b/>
          <w:bCs/>
          <w:rtl/>
        </w:rPr>
      </w:pPr>
      <w:r>
        <w:rPr>
          <w:rFonts w:ascii="David" w:hAnsi="David"/>
          <w:b/>
          <w:bCs/>
          <w:rtl/>
        </w:rPr>
        <w:t>ש. פנו אליה?</w:t>
      </w:r>
    </w:p>
    <w:p w:rsidR="00120007" w:rsidRDefault="00866081" w:rsidP="00120007">
      <w:pPr>
        <w:ind w:left="651"/>
        <w:jc w:val="both"/>
        <w:rPr>
          <w:rFonts w:ascii="David" w:hAnsi="David"/>
          <w:b/>
          <w:bCs/>
          <w:rtl/>
        </w:rPr>
      </w:pPr>
      <w:r>
        <w:rPr>
          <w:rFonts w:ascii="David" w:hAnsi="David"/>
          <w:b/>
          <w:bCs/>
          <w:rtl/>
        </w:rPr>
        <w:t>ת. לא. ה</w:t>
      </w:r>
      <w:r>
        <w:rPr>
          <w:rFonts w:ascii="David" w:hAnsi="David" w:hint="cs"/>
          <w:b/>
          <w:bCs/>
          <w:rtl/>
        </w:rPr>
        <w:t>'</w:t>
      </w:r>
      <w:r w:rsidR="00120007">
        <w:rPr>
          <w:rFonts w:ascii="David" w:hAnsi="David"/>
          <w:b/>
          <w:bCs/>
          <w:rtl/>
        </w:rPr>
        <w:t xml:space="preserve"> בקושי פנה אלינו. לא היה לו נעים."</w:t>
      </w:r>
    </w:p>
    <w:p w:rsidR="00120007" w:rsidRDefault="00120007" w:rsidP="00120007">
      <w:pPr>
        <w:pStyle w:val="ad"/>
        <w:spacing w:line="360" w:lineRule="auto"/>
        <w:ind w:left="651"/>
        <w:jc w:val="both"/>
        <w:rPr>
          <w:rFonts w:ascii="David" w:hAnsi="David" w:cs="David"/>
          <w:sz w:val="24"/>
          <w:szCs w:val="24"/>
          <w:rtl/>
        </w:rPr>
      </w:pPr>
      <w:r w:rsidRPr="00191747">
        <w:rPr>
          <w:rFonts w:ascii="David" w:hAnsi="David" w:cs="David"/>
          <w:sz w:val="24"/>
          <w:szCs w:val="24"/>
          <w:rtl/>
        </w:rPr>
        <w:t>[ראו פרוטוקול דיון מיום 18.12.22 עמוד 31 שורות 11-21]</w:t>
      </w:r>
    </w:p>
    <w:p w:rsidR="00120007" w:rsidRDefault="00120007" w:rsidP="00120007">
      <w:pPr>
        <w:pStyle w:val="ad"/>
        <w:ind w:left="651" w:hanging="651"/>
        <w:rPr>
          <w:rFonts w:ascii="David" w:hAnsi="David" w:cs="David"/>
          <w:sz w:val="24"/>
          <w:szCs w:val="24"/>
        </w:rPr>
      </w:pPr>
    </w:p>
    <w:p w:rsidR="00120007" w:rsidRPr="0019174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lastRenderedPageBreak/>
        <w:t xml:space="preserve">ובהמשך נשאלה גב' </w:t>
      </w:r>
      <w:r w:rsidR="00412926">
        <w:rPr>
          <w:rFonts w:ascii="David" w:hAnsi="David" w:cs="David"/>
          <w:sz w:val="24"/>
          <w:szCs w:val="24"/>
          <w:rtl/>
        </w:rPr>
        <w:t>ס</w:t>
      </w:r>
      <w:r w:rsidR="00412926">
        <w:rPr>
          <w:rFonts w:ascii="David" w:hAnsi="David" w:cs="David" w:hint="cs"/>
          <w:sz w:val="24"/>
          <w:szCs w:val="24"/>
          <w:rtl/>
        </w:rPr>
        <w:t>'</w:t>
      </w:r>
      <w:r>
        <w:rPr>
          <w:rFonts w:ascii="David" w:hAnsi="David" w:cs="David"/>
          <w:sz w:val="24"/>
          <w:szCs w:val="24"/>
          <w:rtl/>
        </w:rPr>
        <w:t xml:space="preserve"> על ידי בית המשפט לגבי תצהירה, מאין שואבת היא את הטענה כי עסקת החליפין היתה מוכרת וידועה לכל המשפחה, ותשובתה היתה שאמירה זו הינה תוצאה של העובדה שבכל פעם שהיה אירוע בבית ב</w:t>
      </w:r>
      <w:r w:rsidR="00EE0F14">
        <w:rPr>
          <w:rFonts w:ascii="David" w:hAnsi="David" w:cs="David"/>
          <w:sz w:val="24"/>
          <w:szCs w:val="24"/>
        </w:rPr>
        <w:t>xxx</w:t>
      </w:r>
      <w:r>
        <w:rPr>
          <w:rFonts w:ascii="David" w:hAnsi="David" w:cs="David"/>
          <w:sz w:val="24"/>
          <w:szCs w:val="24"/>
          <w:rtl/>
        </w:rPr>
        <w:t xml:space="preserve"> כולם אמרו "</w:t>
      </w:r>
      <w:r w:rsidR="00412926">
        <w:rPr>
          <w:rFonts w:ascii="David" w:hAnsi="David" w:cs="David"/>
          <w:b/>
          <w:bCs/>
          <w:sz w:val="24"/>
          <w:szCs w:val="24"/>
          <w:rtl/>
        </w:rPr>
        <w:t>הבית של ה</w:t>
      </w:r>
      <w:r w:rsidR="00412926">
        <w:rPr>
          <w:rFonts w:ascii="David" w:hAnsi="David" w:cs="David" w:hint="cs"/>
          <w:b/>
          <w:bCs/>
          <w:sz w:val="24"/>
          <w:szCs w:val="24"/>
          <w:rtl/>
        </w:rPr>
        <w:t>'</w:t>
      </w:r>
      <w:r>
        <w:rPr>
          <w:rFonts w:ascii="David" w:hAnsi="David" w:cs="David"/>
          <w:sz w:val="24"/>
          <w:szCs w:val="24"/>
          <w:rtl/>
        </w:rPr>
        <w:t xml:space="preserve">", אולם מעבר </w:t>
      </w:r>
      <w:r w:rsidRPr="00191747">
        <w:rPr>
          <w:rFonts w:ascii="David" w:hAnsi="David" w:cs="David"/>
          <w:sz w:val="24"/>
          <w:szCs w:val="24"/>
          <w:rtl/>
        </w:rPr>
        <w:t>לכך לא סיפקה ראיה מספיקה כדי להטות את הכף לטובת טענת התובעים [ראו פרוטוקול דיון מיום 18.12.22 עמ' 32 שורות 34-36 וגם עמוד 33 שורות 1-4] .</w:t>
      </w:r>
    </w:p>
    <w:p w:rsidR="00120007" w:rsidRDefault="00120007" w:rsidP="00120007">
      <w:pPr>
        <w:pStyle w:val="ad"/>
        <w:ind w:left="651" w:hanging="651"/>
        <w:rPr>
          <w:rFonts w:ascii="David" w:hAnsi="David" w:cs="David"/>
          <w:sz w:val="24"/>
          <w:szCs w:val="24"/>
        </w:rPr>
      </w:pPr>
    </w:p>
    <w:p w:rsidR="00120007" w:rsidRPr="00191747" w:rsidRDefault="00412926"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גם עדותו של מר ב</w:t>
      </w:r>
      <w:r>
        <w:rPr>
          <w:rFonts w:ascii="David" w:hAnsi="David" w:cs="David" w:hint="cs"/>
          <w:sz w:val="24"/>
          <w:szCs w:val="24"/>
          <w:rtl/>
        </w:rPr>
        <w:t>' א' ש'</w:t>
      </w:r>
      <w:r w:rsidR="00120007">
        <w:rPr>
          <w:rFonts w:ascii="David" w:hAnsi="David" w:cs="David"/>
          <w:sz w:val="24"/>
          <w:szCs w:val="24"/>
          <w:rtl/>
        </w:rPr>
        <w:t>, העד השלישי, לא תמכה בטענות התובעים כאילו הנתבעים ידעו על עסקת החליפין, ואולי אף להיפך. וכך ענה לשאלה העד האם אתה יודע אם הם ידעו או לא: "</w:t>
      </w:r>
      <w:r w:rsidR="00120007">
        <w:rPr>
          <w:rFonts w:ascii="David" w:hAnsi="David" w:cs="David"/>
          <w:b/>
          <w:bCs/>
          <w:sz w:val="24"/>
          <w:szCs w:val="24"/>
          <w:rtl/>
        </w:rPr>
        <w:t xml:space="preserve">לא אמרתי להם וסביר להניח שהתבצעה העסקה. מה הם לא יודעים? לא אמרתי </w:t>
      </w:r>
      <w:r w:rsidR="00120007" w:rsidRPr="00191747">
        <w:rPr>
          <w:rFonts w:ascii="David" w:hAnsi="David" w:cs="David"/>
          <w:b/>
          <w:bCs/>
          <w:sz w:val="24"/>
          <w:szCs w:val="24"/>
          <w:rtl/>
        </w:rPr>
        <w:t>להם, סביר שאם התבצעה העסקה, הם יודעים</w:t>
      </w:r>
      <w:r w:rsidR="00120007" w:rsidRPr="00191747">
        <w:rPr>
          <w:rFonts w:ascii="David" w:hAnsi="David" w:cs="David"/>
          <w:sz w:val="24"/>
          <w:szCs w:val="24"/>
          <w:rtl/>
        </w:rPr>
        <w:t>" (</w:t>
      </w:r>
      <w:r w:rsidR="00AF30EF">
        <w:rPr>
          <w:rFonts w:ascii="David" w:hAnsi="David" w:cs="David" w:hint="cs"/>
          <w:sz w:val="24"/>
          <w:szCs w:val="24"/>
          <w:rtl/>
        </w:rPr>
        <w:t xml:space="preserve">ראו </w:t>
      </w:r>
      <w:r w:rsidR="00120007" w:rsidRPr="00191747">
        <w:rPr>
          <w:rFonts w:ascii="David" w:hAnsi="David" w:cs="David"/>
          <w:sz w:val="24"/>
          <w:szCs w:val="24"/>
          <w:rtl/>
        </w:rPr>
        <w:t>פרוטוקול דיון מיום 18.12.22 עמוד 34 שורות 34-36) ובהמשך העיד "</w:t>
      </w:r>
      <w:r w:rsidR="00120007" w:rsidRPr="00191747">
        <w:rPr>
          <w:rFonts w:ascii="David" w:hAnsi="David" w:cs="David"/>
          <w:b/>
          <w:bCs/>
          <w:sz w:val="24"/>
          <w:szCs w:val="24"/>
          <w:rtl/>
        </w:rPr>
        <w:t>אני מניח שהם ידעו</w:t>
      </w:r>
      <w:r w:rsidR="00120007" w:rsidRPr="00191747">
        <w:rPr>
          <w:rFonts w:ascii="David" w:hAnsi="David" w:cs="David"/>
          <w:sz w:val="24"/>
          <w:szCs w:val="24"/>
          <w:rtl/>
        </w:rPr>
        <w:t>" (</w:t>
      </w:r>
      <w:r w:rsidR="00AF30EF">
        <w:rPr>
          <w:rFonts w:ascii="David" w:hAnsi="David" w:cs="David" w:hint="cs"/>
          <w:sz w:val="24"/>
          <w:szCs w:val="24"/>
          <w:rtl/>
        </w:rPr>
        <w:t xml:space="preserve">ראו </w:t>
      </w:r>
      <w:r w:rsidR="00120007" w:rsidRPr="00191747">
        <w:rPr>
          <w:rFonts w:ascii="David" w:hAnsi="David" w:cs="David"/>
          <w:sz w:val="24"/>
          <w:szCs w:val="24"/>
          <w:rtl/>
        </w:rPr>
        <w:t>פרוטוקול דיון מיום 18.12.22 עמוד 35 שורה 5).</w:t>
      </w:r>
    </w:p>
    <w:p w:rsidR="00120007" w:rsidRDefault="00120007" w:rsidP="00120007">
      <w:pPr>
        <w:pStyle w:val="ad"/>
        <w:ind w:left="651" w:hanging="651"/>
        <w:rPr>
          <w:rFonts w:ascii="David" w:hAnsi="David" w:cs="David"/>
          <w:sz w:val="24"/>
          <w:szCs w:val="24"/>
          <w:highlight w:val="yellow"/>
        </w:rPr>
      </w:pPr>
    </w:p>
    <w:p w:rsidR="00E36A58" w:rsidRDefault="00120007" w:rsidP="00E36A58">
      <w:pPr>
        <w:pStyle w:val="ad"/>
        <w:numPr>
          <w:ilvl w:val="0"/>
          <w:numId w:val="1"/>
        </w:numPr>
        <w:spacing w:line="360" w:lineRule="auto"/>
        <w:ind w:left="651" w:hanging="651"/>
        <w:jc w:val="both"/>
        <w:rPr>
          <w:rFonts w:ascii="David" w:hAnsi="David" w:cs="David"/>
          <w:sz w:val="24"/>
          <w:szCs w:val="24"/>
        </w:rPr>
      </w:pPr>
      <w:r>
        <w:rPr>
          <w:rFonts w:ascii="David" w:hAnsi="David" w:cs="David"/>
          <w:sz w:val="24"/>
          <w:szCs w:val="24"/>
          <w:rtl/>
        </w:rPr>
        <w:t>ומנגד, דווקא העדים שאולי היה ביכולתם לשפוך אור על התעלומה, לא הובאו לעדות, ועל כך נשאל התובע ותשובותיו היו חלקיות, לא מובנות, ותמוהות, ובעיקר התמצו ב"</w:t>
      </w:r>
      <w:r>
        <w:rPr>
          <w:rFonts w:ascii="David" w:hAnsi="David" w:cs="David"/>
          <w:b/>
          <w:bCs/>
          <w:sz w:val="24"/>
          <w:szCs w:val="24"/>
          <w:rtl/>
        </w:rPr>
        <w:t>לא זוכר</w:t>
      </w:r>
      <w:r>
        <w:rPr>
          <w:rFonts w:ascii="David" w:hAnsi="David" w:cs="David"/>
          <w:sz w:val="24"/>
          <w:szCs w:val="24"/>
          <w:rtl/>
        </w:rPr>
        <w:t>", "</w:t>
      </w:r>
      <w:r>
        <w:rPr>
          <w:rFonts w:ascii="David" w:hAnsi="David" w:cs="David"/>
          <w:b/>
          <w:bCs/>
          <w:sz w:val="24"/>
          <w:szCs w:val="24"/>
          <w:rtl/>
        </w:rPr>
        <w:t xml:space="preserve">אני </w:t>
      </w:r>
      <w:r w:rsidRPr="00191747">
        <w:rPr>
          <w:rFonts w:ascii="David" w:hAnsi="David" w:cs="David"/>
          <w:b/>
          <w:bCs/>
          <w:sz w:val="24"/>
          <w:szCs w:val="24"/>
          <w:rtl/>
        </w:rPr>
        <w:t>לא יודע, לא זכור לי</w:t>
      </w:r>
      <w:r w:rsidRPr="00191747">
        <w:rPr>
          <w:rFonts w:ascii="David" w:hAnsi="David" w:cs="David"/>
          <w:sz w:val="24"/>
          <w:szCs w:val="24"/>
          <w:rtl/>
        </w:rPr>
        <w:t>" (</w:t>
      </w:r>
      <w:r w:rsidR="00AF30EF">
        <w:rPr>
          <w:rFonts w:ascii="David" w:hAnsi="David" w:cs="David" w:hint="cs"/>
          <w:sz w:val="24"/>
          <w:szCs w:val="24"/>
          <w:rtl/>
        </w:rPr>
        <w:t xml:space="preserve">ראו </w:t>
      </w:r>
      <w:r w:rsidRPr="00191747">
        <w:rPr>
          <w:rFonts w:ascii="David" w:hAnsi="David" w:cs="David"/>
          <w:sz w:val="24"/>
          <w:szCs w:val="24"/>
          <w:rtl/>
        </w:rPr>
        <w:t>פרוטוקול הדיון מיום 8.1.23 עמודים 42-44).</w:t>
      </w:r>
    </w:p>
    <w:p w:rsidR="00E36A58" w:rsidRPr="00E36A58" w:rsidRDefault="00E36A58" w:rsidP="00E36A58">
      <w:pPr>
        <w:pStyle w:val="ad"/>
        <w:rPr>
          <w:rFonts w:ascii="David" w:hAnsi="David" w:cs="David"/>
          <w:b/>
          <w:bCs/>
          <w:sz w:val="24"/>
          <w:szCs w:val="24"/>
          <w:u w:val="single"/>
          <w:rtl/>
        </w:rPr>
      </w:pPr>
    </w:p>
    <w:p w:rsidR="00E36A58" w:rsidRPr="00E36A58" w:rsidRDefault="00120007" w:rsidP="00E36A58">
      <w:pPr>
        <w:pStyle w:val="ad"/>
        <w:numPr>
          <w:ilvl w:val="0"/>
          <w:numId w:val="1"/>
        </w:numPr>
        <w:spacing w:line="360" w:lineRule="auto"/>
        <w:ind w:left="651" w:hanging="651"/>
        <w:jc w:val="both"/>
        <w:rPr>
          <w:rFonts w:ascii="David" w:hAnsi="David" w:cs="David"/>
          <w:sz w:val="24"/>
          <w:szCs w:val="24"/>
        </w:rPr>
      </w:pPr>
      <w:r w:rsidRPr="00E36A58">
        <w:rPr>
          <w:rFonts w:ascii="David" w:hAnsi="David" w:cs="David"/>
          <w:b/>
          <w:bCs/>
          <w:sz w:val="24"/>
          <w:szCs w:val="24"/>
          <w:u w:val="single"/>
          <w:rtl/>
        </w:rPr>
        <w:t>משך מגורי התובעים בבית ב</w:t>
      </w:r>
      <w:r w:rsidR="00EE0F14">
        <w:rPr>
          <w:rFonts w:ascii="David" w:hAnsi="David" w:cs="David"/>
          <w:b/>
          <w:bCs/>
          <w:sz w:val="24"/>
          <w:szCs w:val="24"/>
          <w:u w:val="single"/>
        </w:rPr>
        <w:t>xxx</w:t>
      </w:r>
      <w:r w:rsidRPr="00E36A58">
        <w:rPr>
          <w:rFonts w:ascii="David" w:hAnsi="David" w:cs="David"/>
          <w:sz w:val="24"/>
          <w:szCs w:val="24"/>
          <w:rtl/>
        </w:rPr>
        <w:t xml:space="preserve"> – לטענת התובעים משך מגוריהם בבית ב</w:t>
      </w:r>
      <w:r w:rsidR="00EE0F14">
        <w:rPr>
          <w:rFonts w:ascii="David" w:hAnsi="David" w:cs="David"/>
          <w:sz w:val="24"/>
          <w:szCs w:val="24"/>
        </w:rPr>
        <w:t>xxx</w:t>
      </w:r>
      <w:r w:rsidRPr="00E36A58">
        <w:rPr>
          <w:rFonts w:ascii="David" w:hAnsi="David" w:cs="David"/>
          <w:sz w:val="24"/>
          <w:szCs w:val="24"/>
          <w:rtl/>
        </w:rPr>
        <w:t xml:space="preserve"> מעיד כי מדובר בבית שלהם. טענה זו </w:t>
      </w:r>
      <w:r w:rsidR="00AF30EF" w:rsidRPr="00E36A58">
        <w:rPr>
          <w:rFonts w:ascii="David" w:hAnsi="David" w:cs="David" w:hint="cs"/>
          <w:sz w:val="24"/>
          <w:szCs w:val="24"/>
          <w:rtl/>
        </w:rPr>
        <w:t xml:space="preserve">בעייתית משני היבטים. הראשונה, אין מחלוקת בין הצדדים כי במהלך חייה של המנוחה, קרי עד שנת 2018, הייתה הסכמה בין המנוחה לתובעים להחליף את המגורים, </w:t>
      </w:r>
      <w:r w:rsidR="00E36A58" w:rsidRPr="00E36A58">
        <w:rPr>
          <w:rFonts w:ascii="David" w:hAnsi="David" w:cs="David" w:hint="cs"/>
          <w:sz w:val="24"/>
          <w:szCs w:val="24"/>
          <w:rtl/>
        </w:rPr>
        <w:t>כך שלא ניתן ליתן משקל ל</w:t>
      </w:r>
      <w:r w:rsidR="00AF30EF" w:rsidRPr="00E36A58">
        <w:rPr>
          <w:rFonts w:ascii="David" w:hAnsi="David" w:cs="David" w:hint="cs"/>
          <w:sz w:val="24"/>
          <w:szCs w:val="24"/>
          <w:rtl/>
        </w:rPr>
        <w:t xml:space="preserve">פרק </w:t>
      </w:r>
      <w:r w:rsidR="00E36A58" w:rsidRPr="00E36A58">
        <w:rPr>
          <w:rFonts w:ascii="David" w:hAnsi="David" w:cs="David" w:hint="cs"/>
          <w:sz w:val="24"/>
          <w:szCs w:val="24"/>
          <w:rtl/>
        </w:rPr>
        <w:t xml:space="preserve">זמן </w:t>
      </w:r>
      <w:r w:rsidR="00AF30EF" w:rsidRPr="00E36A58">
        <w:rPr>
          <w:rFonts w:ascii="David" w:hAnsi="David" w:cs="David" w:hint="cs"/>
          <w:sz w:val="24"/>
          <w:szCs w:val="24"/>
          <w:rtl/>
        </w:rPr>
        <w:t xml:space="preserve">זה </w:t>
      </w:r>
      <w:r w:rsidR="00E36A58" w:rsidRPr="00E36A58">
        <w:rPr>
          <w:rFonts w:ascii="David" w:hAnsi="David" w:cs="David" w:hint="cs"/>
          <w:sz w:val="24"/>
          <w:szCs w:val="24"/>
          <w:rtl/>
        </w:rPr>
        <w:t xml:space="preserve">על מנת להוכיח את טענת בעלות. </w:t>
      </w:r>
      <w:r w:rsidR="00AF30EF" w:rsidRPr="00E36A58">
        <w:rPr>
          <w:rFonts w:ascii="David" w:hAnsi="David" w:cs="David" w:hint="cs"/>
          <w:sz w:val="24"/>
          <w:szCs w:val="24"/>
          <w:rtl/>
        </w:rPr>
        <w:t xml:space="preserve"> השנייה, גם אם אקבל </w:t>
      </w:r>
      <w:r w:rsidR="00E36A58" w:rsidRPr="00E36A58">
        <w:rPr>
          <w:rFonts w:ascii="David" w:hAnsi="David" w:cs="David" w:hint="cs"/>
          <w:sz w:val="24"/>
          <w:szCs w:val="24"/>
          <w:rtl/>
        </w:rPr>
        <w:t xml:space="preserve">את הטענה של שנות מגורים רבות, עולה ביתר שאת השאלה, מדוע לא פעלו התובעים, במהלך השנים הרבות, לשם ביצוע הרישום. </w:t>
      </w:r>
    </w:p>
    <w:p w:rsidR="00E36A58" w:rsidRPr="00E36A58" w:rsidRDefault="00E36A58" w:rsidP="00E36A58">
      <w:pPr>
        <w:pStyle w:val="ad"/>
        <w:rPr>
          <w:rFonts w:ascii="David" w:hAnsi="David" w:cs="David"/>
          <w:sz w:val="24"/>
          <w:szCs w:val="24"/>
          <w:rtl/>
        </w:rPr>
      </w:pPr>
    </w:p>
    <w:p w:rsidR="00120007" w:rsidRPr="00E36A58" w:rsidRDefault="00E36A58" w:rsidP="00E36A58">
      <w:pPr>
        <w:pStyle w:val="ad"/>
        <w:numPr>
          <w:ilvl w:val="0"/>
          <w:numId w:val="1"/>
        </w:numPr>
        <w:spacing w:line="360" w:lineRule="auto"/>
        <w:ind w:left="651" w:hanging="651"/>
        <w:jc w:val="both"/>
        <w:rPr>
          <w:rFonts w:ascii="David" w:hAnsi="David" w:cs="David"/>
          <w:sz w:val="24"/>
          <w:szCs w:val="24"/>
        </w:rPr>
      </w:pPr>
      <w:r w:rsidRPr="00E36A58">
        <w:rPr>
          <w:rFonts w:ascii="David" w:hAnsi="David" w:cs="David" w:hint="cs"/>
          <w:sz w:val="24"/>
          <w:szCs w:val="24"/>
          <w:rtl/>
        </w:rPr>
        <w:t xml:space="preserve">נוכח האמור </w:t>
      </w:r>
      <w:r w:rsidR="00120007" w:rsidRPr="00E36A58">
        <w:rPr>
          <w:rFonts w:ascii="David" w:hAnsi="David" w:cs="David"/>
          <w:sz w:val="24"/>
          <w:szCs w:val="24"/>
          <w:rtl/>
        </w:rPr>
        <w:t>נכון יותר לבחון את מגורי התובעים בבית ב</w:t>
      </w:r>
      <w:r w:rsidR="00EE0F14">
        <w:rPr>
          <w:rFonts w:ascii="David" w:hAnsi="David" w:cs="David"/>
          <w:sz w:val="24"/>
          <w:szCs w:val="24"/>
        </w:rPr>
        <w:t>xxx</w:t>
      </w:r>
      <w:r w:rsidR="00120007" w:rsidRPr="00E36A58">
        <w:rPr>
          <w:rFonts w:ascii="David" w:hAnsi="David" w:cs="David"/>
          <w:sz w:val="24"/>
          <w:szCs w:val="24"/>
          <w:rtl/>
        </w:rPr>
        <w:t>, רק מיום בו הלכה המנוחה לבית עולמה, ולא ליתן משקל לשנות המגורים בסך הכל, או</w:t>
      </w:r>
      <w:r w:rsidR="008E1DCB" w:rsidRPr="00E36A58">
        <w:rPr>
          <w:rFonts w:ascii="David" w:hAnsi="David" w:cs="David" w:hint="cs"/>
          <w:sz w:val="24"/>
          <w:szCs w:val="24"/>
          <w:rtl/>
        </w:rPr>
        <w:t>,</w:t>
      </w:r>
      <w:r w:rsidR="00120007" w:rsidRPr="00E36A58">
        <w:rPr>
          <w:rFonts w:ascii="David" w:hAnsi="David" w:cs="David"/>
          <w:sz w:val="24"/>
          <w:szCs w:val="24"/>
          <w:rtl/>
        </w:rPr>
        <w:t xml:space="preserve"> לבחון צד אחר בהתנהלות התובעים, והוא הגדלתם את הבית ב</w:t>
      </w:r>
      <w:r w:rsidR="00EE0F14">
        <w:rPr>
          <w:rFonts w:ascii="David" w:hAnsi="David" w:cs="David"/>
          <w:sz w:val="24"/>
          <w:szCs w:val="24"/>
        </w:rPr>
        <w:t>xxx</w:t>
      </w:r>
      <w:r w:rsidR="00120007" w:rsidRPr="00E36A58">
        <w:rPr>
          <w:rFonts w:ascii="David" w:hAnsi="David" w:cs="David"/>
          <w:sz w:val="24"/>
          <w:szCs w:val="24"/>
          <w:rtl/>
        </w:rPr>
        <w:t>, והשקעותיהם בו.</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Pr>
      </w:pPr>
      <w:r>
        <w:rPr>
          <w:rFonts w:ascii="David" w:hAnsi="David" w:cs="David"/>
          <w:b/>
          <w:bCs/>
          <w:sz w:val="24"/>
          <w:szCs w:val="24"/>
          <w:u w:val="single"/>
          <w:rtl/>
        </w:rPr>
        <w:t>הגדלות, השקעות והשבחות שביצעו התובעים בבית ב</w:t>
      </w:r>
      <w:r w:rsidR="00EE0F14">
        <w:rPr>
          <w:rFonts w:ascii="David" w:hAnsi="David" w:cs="David"/>
          <w:b/>
          <w:bCs/>
          <w:sz w:val="24"/>
          <w:szCs w:val="24"/>
          <w:u w:val="single"/>
        </w:rPr>
        <w:t>xxx</w:t>
      </w:r>
      <w:r>
        <w:rPr>
          <w:rFonts w:ascii="David" w:hAnsi="David" w:cs="David"/>
          <w:sz w:val="24"/>
          <w:szCs w:val="24"/>
          <w:rtl/>
        </w:rPr>
        <w:t xml:space="preserve"> – אומנם חלוקים הצדדים מה גודלו האמיתי של הבית ב</w:t>
      </w:r>
      <w:r w:rsidR="00EE0F14">
        <w:rPr>
          <w:rFonts w:ascii="David" w:hAnsi="David" w:cs="David"/>
          <w:sz w:val="24"/>
          <w:szCs w:val="24"/>
        </w:rPr>
        <w:t>xxx</w:t>
      </w:r>
      <w:r>
        <w:rPr>
          <w:rFonts w:ascii="David" w:hAnsi="David" w:cs="David"/>
          <w:sz w:val="24"/>
          <w:szCs w:val="24"/>
          <w:rtl/>
        </w:rPr>
        <w:t xml:space="preserve"> היום, האם 132 מ"ר לפי התובעים או כ- 100 מ"ר לפי עדות </w:t>
      </w:r>
      <w:r w:rsidRPr="008E1DCB">
        <w:rPr>
          <w:rFonts w:ascii="David" w:hAnsi="David" w:cs="David"/>
          <w:sz w:val="24"/>
          <w:szCs w:val="24"/>
          <w:rtl/>
        </w:rPr>
        <w:t>הנתבע 1 (ראו פרוטוקול דיון מיום 1.3.2023 עמוד 61 שורות 34-36 ועמוד 62 שורות 1-2), וכך</w:t>
      </w:r>
      <w:r>
        <w:rPr>
          <w:rFonts w:ascii="David" w:hAnsi="David" w:cs="David"/>
          <w:sz w:val="24"/>
          <w:szCs w:val="24"/>
          <w:rtl/>
        </w:rPr>
        <w:t xml:space="preserve"> גם חלוקים מה היה חלקם של התובעים בבנייה הנוספת, יחד עם זאת אין מחלוקת כי ההגדלה הראשונה של הבית, מ- 32 מ"ר ל- 86 מ"ר, נעשתה עוד בעת היותה של המנוחה בין החיים (מתי שהוא בשנת 1977).</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lastRenderedPageBreak/>
        <w:t>במחלוקת בענין גודלו של הבית ב</w:t>
      </w:r>
      <w:r w:rsidR="00EE0F14">
        <w:rPr>
          <w:rFonts w:ascii="David" w:hAnsi="David" w:cs="David"/>
          <w:sz w:val="24"/>
          <w:szCs w:val="24"/>
        </w:rPr>
        <w:t>xxx</w:t>
      </w:r>
      <w:r>
        <w:rPr>
          <w:rFonts w:ascii="David" w:hAnsi="David" w:cs="David"/>
          <w:sz w:val="24"/>
          <w:szCs w:val="24"/>
          <w:rtl/>
        </w:rPr>
        <w:t xml:space="preserve"> כיום, ומה בפועל נבנה, אינני יכולה לקבל לא את טענות התובעים ולא את טענות הנתבעים, אשר מנוגדות. אין בידי בית המשפט ראיות חותכות לגודלו של הבית, יחד עם זאת אין מחלוקת כי בוצעה בנייה נוספת על ידי התובעים.</w:t>
      </w:r>
    </w:p>
    <w:p w:rsidR="00120007" w:rsidRDefault="00120007" w:rsidP="00120007">
      <w:pPr>
        <w:pStyle w:val="ad"/>
        <w:ind w:left="651" w:hanging="651"/>
        <w:rPr>
          <w:rFonts w:ascii="David" w:hAnsi="David" w:cs="David"/>
          <w:sz w:val="24"/>
          <w:szCs w:val="24"/>
        </w:rPr>
      </w:pPr>
    </w:p>
    <w:p w:rsidR="00120007" w:rsidRPr="0050509F" w:rsidRDefault="00120007" w:rsidP="00120007">
      <w:pPr>
        <w:pStyle w:val="ad"/>
        <w:numPr>
          <w:ilvl w:val="0"/>
          <w:numId w:val="1"/>
        </w:numPr>
        <w:spacing w:line="360" w:lineRule="auto"/>
        <w:ind w:left="651" w:hanging="651"/>
        <w:jc w:val="both"/>
        <w:rPr>
          <w:rFonts w:ascii="David" w:hAnsi="David" w:cs="David"/>
          <w:sz w:val="24"/>
          <w:szCs w:val="24"/>
          <w:rtl/>
        </w:rPr>
      </w:pPr>
      <w:r w:rsidRPr="0050509F">
        <w:rPr>
          <w:rFonts w:ascii="David" w:hAnsi="David" w:cs="David"/>
          <w:sz w:val="24"/>
          <w:szCs w:val="24"/>
          <w:rtl/>
        </w:rPr>
        <w:t>אולם עד היום לא ניתן היתר לבנייה זו, ואת זאת ניתן ללמוד מעדותו הכתובה (תעודת עובד ציבור) של המפקח, בתשובותיו לשאלות שהפנה לו בית המשפט, בהתאם להחלטה מיום 21.12.23 כדלהלן:</w:t>
      </w:r>
    </w:p>
    <w:p w:rsidR="00120007" w:rsidRDefault="00120007" w:rsidP="00120007">
      <w:pPr>
        <w:pStyle w:val="ad"/>
        <w:rPr>
          <w:rFonts w:ascii="David" w:hAnsi="David" w:cs="David"/>
          <w:sz w:val="24"/>
          <w:szCs w:val="24"/>
        </w:rPr>
      </w:pPr>
    </w:p>
    <w:p w:rsidR="00120007" w:rsidRDefault="00120007" w:rsidP="00120007">
      <w:pPr>
        <w:pStyle w:val="ad"/>
        <w:numPr>
          <w:ilvl w:val="0"/>
          <w:numId w:val="3"/>
        </w:numPr>
        <w:spacing w:line="360" w:lineRule="auto"/>
        <w:jc w:val="both"/>
        <w:rPr>
          <w:rFonts w:ascii="David" w:hAnsi="David" w:cs="David"/>
          <w:sz w:val="24"/>
          <w:szCs w:val="24"/>
          <w:rtl/>
        </w:rPr>
      </w:pPr>
      <w:r>
        <w:rPr>
          <w:rFonts w:ascii="David" w:hAnsi="David" w:cs="David"/>
          <w:sz w:val="24"/>
          <w:szCs w:val="24"/>
          <w:rtl/>
        </w:rPr>
        <w:t>האם מדובר בבניה בלתי חוקית וללא היתרי בנייה, במקרקעין נשוא המחלוקת?</w:t>
      </w:r>
    </w:p>
    <w:p w:rsidR="00120007" w:rsidRDefault="00120007" w:rsidP="00120007">
      <w:pPr>
        <w:pStyle w:val="ad"/>
        <w:numPr>
          <w:ilvl w:val="0"/>
          <w:numId w:val="3"/>
        </w:numPr>
        <w:spacing w:line="360" w:lineRule="auto"/>
        <w:jc w:val="both"/>
        <w:rPr>
          <w:rFonts w:ascii="David" w:hAnsi="David" w:cs="David"/>
          <w:sz w:val="24"/>
          <w:szCs w:val="24"/>
        </w:rPr>
      </w:pPr>
      <w:r>
        <w:rPr>
          <w:rFonts w:ascii="David" w:hAnsi="David" w:cs="David"/>
          <w:sz w:val="24"/>
          <w:szCs w:val="24"/>
          <w:rtl/>
        </w:rPr>
        <w:t>האם מתנהלת חקירה בגין הבניה בנכס נשוא המחלוקת?</w:t>
      </w:r>
    </w:p>
    <w:p w:rsidR="00120007" w:rsidRDefault="00120007" w:rsidP="00120007">
      <w:pPr>
        <w:pStyle w:val="ad"/>
        <w:spacing w:line="360" w:lineRule="auto"/>
        <w:ind w:left="1011"/>
        <w:jc w:val="both"/>
        <w:rPr>
          <w:rFonts w:ascii="David" w:hAnsi="David" w:cs="David"/>
          <w:sz w:val="24"/>
          <w:szCs w:val="24"/>
        </w:rPr>
      </w:pPr>
    </w:p>
    <w:p w:rsidR="00120007" w:rsidRDefault="00120007" w:rsidP="00120007">
      <w:pPr>
        <w:pStyle w:val="ad"/>
        <w:spacing w:line="360" w:lineRule="auto"/>
        <w:ind w:left="84" w:firstLine="567"/>
        <w:jc w:val="both"/>
        <w:rPr>
          <w:rFonts w:ascii="David" w:hAnsi="David" w:cs="David"/>
          <w:b/>
          <w:bCs/>
          <w:sz w:val="24"/>
          <w:szCs w:val="24"/>
        </w:rPr>
      </w:pPr>
      <w:r>
        <w:rPr>
          <w:rFonts w:ascii="David" w:hAnsi="David" w:cs="David"/>
          <w:b/>
          <w:bCs/>
          <w:sz w:val="24"/>
          <w:szCs w:val="24"/>
          <w:rtl/>
        </w:rPr>
        <w:t>להלן תשובות המפקח:</w:t>
      </w:r>
    </w:p>
    <w:p w:rsidR="00120007" w:rsidRDefault="00120007" w:rsidP="00120007">
      <w:pPr>
        <w:pStyle w:val="ad"/>
        <w:spacing w:line="360" w:lineRule="auto"/>
        <w:ind w:left="84"/>
        <w:jc w:val="both"/>
        <w:rPr>
          <w:rFonts w:ascii="David" w:hAnsi="David" w:cs="David"/>
          <w:sz w:val="24"/>
          <w:szCs w:val="24"/>
          <w:rtl/>
        </w:rPr>
      </w:pPr>
      <w:r>
        <w:rPr>
          <w:rFonts w:ascii="David" w:hAnsi="David" w:cs="David"/>
          <w:sz w:val="24"/>
          <w:szCs w:val="24"/>
          <w:rtl/>
        </w:rPr>
        <w:tab/>
      </w:r>
    </w:p>
    <w:p w:rsidR="00120007" w:rsidRDefault="00120007" w:rsidP="00120007">
      <w:pPr>
        <w:pStyle w:val="ad"/>
        <w:spacing w:line="360" w:lineRule="auto"/>
        <w:ind w:left="84"/>
        <w:jc w:val="both"/>
        <w:rPr>
          <w:rFonts w:ascii="David" w:hAnsi="David" w:cs="David"/>
          <w:sz w:val="24"/>
          <w:szCs w:val="24"/>
          <w:rtl/>
        </w:rPr>
      </w:pPr>
      <w:r>
        <w:rPr>
          <w:noProof/>
        </w:rPr>
        <w:drawing>
          <wp:inline distT="0" distB="0" distL="0" distR="0">
            <wp:extent cx="5272405" cy="1983105"/>
            <wp:effectExtent l="0" t="0" r="444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2405" cy="1983105"/>
                    </a:xfrm>
                    <a:prstGeom prst="rect">
                      <a:avLst/>
                    </a:prstGeom>
                    <a:noFill/>
                    <a:ln>
                      <a:noFill/>
                    </a:ln>
                  </pic:spPr>
                </pic:pic>
              </a:graphicData>
            </a:graphic>
          </wp:inline>
        </w:drawing>
      </w:r>
    </w:p>
    <w:p w:rsidR="00120007" w:rsidRDefault="00120007" w:rsidP="00120007">
      <w:pPr>
        <w:pStyle w:val="ad"/>
        <w:rPr>
          <w:rFonts w:ascii="David" w:hAnsi="David" w:cs="David"/>
          <w:color w:val="FF0000"/>
          <w:sz w:val="24"/>
          <w:szCs w:val="24"/>
        </w:rPr>
      </w:pPr>
    </w:p>
    <w:p w:rsidR="00120007" w:rsidRDefault="00120007" w:rsidP="00120007">
      <w:pPr>
        <w:pStyle w:val="ad"/>
        <w:ind w:left="651" w:hanging="651"/>
        <w:rPr>
          <w:rFonts w:ascii="David" w:hAnsi="David" w:cs="David"/>
          <w:sz w:val="24"/>
          <w:szCs w:val="24"/>
          <w:rtl/>
        </w:rPr>
      </w:pPr>
    </w:p>
    <w:p w:rsidR="0050509F" w:rsidRPr="00896FB1" w:rsidRDefault="00120007" w:rsidP="00DD307A">
      <w:pPr>
        <w:pStyle w:val="ad"/>
        <w:numPr>
          <w:ilvl w:val="0"/>
          <w:numId w:val="1"/>
        </w:numPr>
        <w:spacing w:line="360" w:lineRule="auto"/>
        <w:ind w:left="651" w:hanging="651"/>
        <w:jc w:val="both"/>
        <w:rPr>
          <w:rFonts w:ascii="David" w:hAnsi="David" w:cs="David"/>
          <w:sz w:val="24"/>
          <w:szCs w:val="24"/>
        </w:rPr>
      </w:pPr>
      <w:r w:rsidRPr="00896FB1">
        <w:rPr>
          <w:rFonts w:ascii="David" w:hAnsi="David" w:cs="David"/>
          <w:sz w:val="24"/>
          <w:szCs w:val="24"/>
          <w:rtl/>
        </w:rPr>
        <w:t>לענין ההשקעות הכספיות בבית, חלוקים הצדדים. כאמור מעלה, התובעים טוענים שהשקיעו כ 1.2 מיליון ₪, אולם לא סיפקו, ולו ראשית ראיה להוצאה בסדר גודל כזה</w:t>
      </w:r>
      <w:r w:rsidR="0050509F" w:rsidRPr="00896FB1">
        <w:rPr>
          <w:rFonts w:ascii="David" w:hAnsi="David" w:cs="David" w:hint="cs"/>
          <w:sz w:val="24"/>
          <w:szCs w:val="24"/>
          <w:rtl/>
        </w:rPr>
        <w:t>, ואילו הנתבעים טוענים שמדובר בהשקעה קטנה בהרבה</w:t>
      </w:r>
      <w:r w:rsidR="00E36A58">
        <w:rPr>
          <w:rFonts w:ascii="David" w:hAnsi="David" w:cs="David" w:hint="cs"/>
          <w:sz w:val="24"/>
          <w:szCs w:val="24"/>
          <w:rtl/>
        </w:rPr>
        <w:t xml:space="preserve">, ואם נקבל את הערכת השמאי מדובר בסך של 554,000 </w:t>
      </w:r>
      <w:r w:rsidR="00DD307A">
        <w:rPr>
          <w:rFonts w:ascii="David" w:hAnsi="David" w:cs="David" w:hint="cs"/>
          <w:sz w:val="24"/>
          <w:szCs w:val="24"/>
          <w:rtl/>
        </w:rPr>
        <w:t>₪ בלבד.</w:t>
      </w:r>
    </w:p>
    <w:p w:rsidR="0050509F" w:rsidRDefault="0050509F" w:rsidP="008E0D2F">
      <w:pPr>
        <w:pStyle w:val="ad"/>
        <w:spacing w:line="240" w:lineRule="auto"/>
        <w:ind w:left="651"/>
        <w:jc w:val="both"/>
        <w:rPr>
          <w:rFonts w:ascii="David" w:hAnsi="David" w:cs="David"/>
          <w:sz w:val="24"/>
          <w:szCs w:val="24"/>
        </w:rPr>
      </w:pPr>
    </w:p>
    <w:p w:rsidR="00120007" w:rsidRPr="0050509F" w:rsidRDefault="00120007" w:rsidP="00DD307A">
      <w:pPr>
        <w:pStyle w:val="ad"/>
        <w:numPr>
          <w:ilvl w:val="0"/>
          <w:numId w:val="1"/>
        </w:numPr>
        <w:spacing w:line="360" w:lineRule="auto"/>
        <w:ind w:left="651" w:hanging="651"/>
        <w:jc w:val="both"/>
        <w:rPr>
          <w:rFonts w:ascii="David" w:hAnsi="David" w:cs="David"/>
          <w:sz w:val="24"/>
          <w:szCs w:val="24"/>
          <w:rtl/>
        </w:rPr>
      </w:pPr>
      <w:r w:rsidRPr="0050509F">
        <w:rPr>
          <w:rFonts w:ascii="David" w:hAnsi="David" w:cs="David"/>
          <w:sz w:val="24"/>
          <w:szCs w:val="24"/>
          <w:rtl/>
        </w:rPr>
        <w:t xml:space="preserve">מחד, סביר להניח כי לו סברו התובעים כי אין מדובר בבית שלהם, לא היו משקיעים בו כספים בהיקפים גדולים. מאידך, התובעים העידו כי במהלך השנים משפחתם גדלה, כך שלא מן הנמנע להניח כי עשו זאת </w:t>
      </w:r>
      <w:r w:rsidR="00DD307A">
        <w:rPr>
          <w:rFonts w:ascii="David" w:hAnsi="David" w:cs="David"/>
          <w:sz w:val="24"/>
          <w:szCs w:val="24"/>
          <w:rtl/>
        </w:rPr>
        <w:t>על מנת לשפר את איכות חייהם בבית</w:t>
      </w:r>
      <w:r w:rsidR="00DD307A">
        <w:rPr>
          <w:rFonts w:ascii="David" w:hAnsi="David" w:cs="David" w:hint="cs"/>
          <w:sz w:val="24"/>
          <w:szCs w:val="24"/>
          <w:rtl/>
        </w:rPr>
        <w:t>, לרבות לבני משפחתם הגרעינית.</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b/>
          <w:bCs/>
          <w:sz w:val="24"/>
          <w:szCs w:val="24"/>
          <w:rtl/>
        </w:rPr>
      </w:pPr>
      <w:r>
        <w:rPr>
          <w:rFonts w:ascii="David" w:hAnsi="David" w:cs="David"/>
          <w:b/>
          <w:bCs/>
          <w:sz w:val="24"/>
          <w:szCs w:val="24"/>
          <w:rtl/>
        </w:rPr>
        <w:lastRenderedPageBreak/>
        <w:t>לאחר שבחנתי את חומר הראיות שהונח בפניי ושקלתי את טענות הצדדים, הגעתי למסקנה שהתובעים לא הוכיחו את עסקת החליפין הנטענת ולא הוכיחו כי המנוחה ויתרה על זכויותיה בבית ב</w:t>
      </w:r>
      <w:r w:rsidR="00EE0F14">
        <w:rPr>
          <w:rFonts w:ascii="David" w:hAnsi="David" w:cs="David"/>
          <w:b/>
          <w:bCs/>
          <w:sz w:val="24"/>
          <w:szCs w:val="24"/>
        </w:rPr>
        <w:t>xxx</w:t>
      </w:r>
      <w:r>
        <w:rPr>
          <w:rFonts w:ascii="David" w:hAnsi="David" w:cs="David"/>
          <w:b/>
          <w:bCs/>
          <w:sz w:val="24"/>
          <w:szCs w:val="24"/>
          <w:rtl/>
        </w:rPr>
        <w:t xml:space="preserve"> כנגד קבלת זכויותיה בדירה ב</w:t>
      </w:r>
      <w:r w:rsidR="00EE0F14">
        <w:rPr>
          <w:rFonts w:ascii="David" w:hAnsi="David" w:cs="David"/>
          <w:b/>
          <w:bCs/>
          <w:sz w:val="24"/>
          <w:szCs w:val="24"/>
        </w:rPr>
        <w:t>xxx</w:t>
      </w:r>
      <w:r>
        <w:rPr>
          <w:rFonts w:ascii="David" w:hAnsi="David" w:cs="David"/>
          <w:b/>
          <w:bCs/>
          <w:sz w:val="24"/>
          <w:szCs w:val="24"/>
          <w:rtl/>
        </w:rPr>
        <w:t>. ואסביר:</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b/>
          <w:bCs/>
          <w:sz w:val="24"/>
          <w:szCs w:val="24"/>
          <w:u w:val="single"/>
          <w:rtl/>
        </w:rPr>
        <w:t>דרישת הכתב בחוק המקרקעין</w:t>
      </w:r>
      <w:r>
        <w:rPr>
          <w:rFonts w:ascii="David" w:hAnsi="David" w:cs="David"/>
          <w:sz w:val="24"/>
          <w:szCs w:val="24"/>
          <w:rtl/>
        </w:rPr>
        <w:t xml:space="preserve"> – סעיף 8 לחוק מדגיש את חשיבותו של הכתב ומציג את דרישת הכתב כמהותית, כך שבהעדר מסמך בכתב, לא ניתן להוכיח קיומה של התחייבות לעשות עסקה במקרקעין.</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 xml:space="preserve">נכונה טענת התובעים כי חלו תמורות בדרישת הכתב וזו נתרככה, אולם בניגוד לטענתם לא בוטלה הדרישה המינימאלית למסמך בכתב. בתי המשפט הכירו במסמכים שונים, מהם ניתן ללמוד כי נעשתה עסקה במקרקעין, גם אם לא מדובר בחוזה חתום וגמור המכיל את כל הפרטים המהותיים של העסקה. </w:t>
      </w:r>
    </w:p>
    <w:p w:rsidR="00120007" w:rsidRDefault="00120007" w:rsidP="00DD307A">
      <w:pPr>
        <w:pStyle w:val="ad"/>
        <w:spacing w:line="240" w:lineRule="auto"/>
        <w:ind w:left="651" w:hanging="651"/>
        <w:jc w:val="both"/>
        <w:rPr>
          <w:rFonts w:ascii="David" w:hAnsi="David" w:cs="David"/>
          <w:sz w:val="24"/>
          <w:szCs w:val="24"/>
        </w:rPr>
      </w:pPr>
    </w:p>
    <w:p w:rsidR="00120007" w:rsidRDefault="00120007" w:rsidP="00896FB1">
      <w:pPr>
        <w:pStyle w:val="ad"/>
        <w:numPr>
          <w:ilvl w:val="0"/>
          <w:numId w:val="1"/>
        </w:numPr>
        <w:spacing w:line="360" w:lineRule="auto"/>
        <w:ind w:left="651" w:hanging="651"/>
        <w:jc w:val="both"/>
        <w:rPr>
          <w:rFonts w:ascii="David" w:hAnsi="David" w:cs="David"/>
          <w:sz w:val="24"/>
          <w:szCs w:val="24"/>
        </w:rPr>
      </w:pPr>
      <w:r>
        <w:rPr>
          <w:rFonts w:ascii="David" w:hAnsi="David" w:cs="David"/>
          <w:sz w:val="24"/>
          <w:szCs w:val="24"/>
          <w:rtl/>
        </w:rPr>
        <w:t xml:space="preserve">הפסיקה בשנים האחרונות אף הקלה בענין הפרטים המהותיים שהמסמך צריך להכיל ולענין זה ראה </w:t>
      </w:r>
      <w:r w:rsidRPr="00896FB1">
        <w:rPr>
          <w:rFonts w:ascii="David" w:hAnsi="David" w:cs="David"/>
          <w:sz w:val="24"/>
          <w:szCs w:val="24"/>
          <w:rtl/>
        </w:rPr>
        <w:t xml:space="preserve">ע"א </w:t>
      </w:r>
      <w:r w:rsidR="00896FB1">
        <w:rPr>
          <w:rFonts w:ascii="David" w:hAnsi="David" w:cs="David" w:hint="cs"/>
          <w:sz w:val="24"/>
          <w:szCs w:val="24"/>
          <w:rtl/>
        </w:rPr>
        <w:t>986/93</w:t>
      </w:r>
      <w:r>
        <w:rPr>
          <w:rFonts w:ascii="David" w:hAnsi="David" w:cs="David"/>
          <w:sz w:val="24"/>
          <w:szCs w:val="24"/>
          <w:rtl/>
        </w:rPr>
        <w:t xml:space="preserve"> </w:t>
      </w:r>
      <w:r w:rsidRPr="0034490D">
        <w:rPr>
          <w:rFonts w:ascii="David" w:hAnsi="David" w:cs="David"/>
          <w:b/>
          <w:bCs/>
          <w:sz w:val="24"/>
          <w:szCs w:val="24"/>
          <w:rtl/>
        </w:rPr>
        <w:t>יעקב קלמר נגד מאיר גיא ואח'</w:t>
      </w:r>
      <w:r w:rsidR="00896FB1" w:rsidRPr="0034490D">
        <w:rPr>
          <w:rFonts w:ascii="David" w:hAnsi="David" w:cs="David" w:hint="cs"/>
          <w:b/>
          <w:bCs/>
          <w:sz w:val="24"/>
          <w:szCs w:val="24"/>
          <w:rtl/>
        </w:rPr>
        <w:t xml:space="preserve"> </w:t>
      </w:r>
      <w:r w:rsidR="00896FB1">
        <w:rPr>
          <w:rFonts w:ascii="David" w:hAnsi="David" w:cs="David" w:hint="cs"/>
          <w:sz w:val="24"/>
          <w:szCs w:val="24"/>
          <w:rtl/>
        </w:rPr>
        <w:t>(פורסם ביום 12.6.96)</w:t>
      </w:r>
      <w:r>
        <w:rPr>
          <w:rFonts w:ascii="David" w:hAnsi="David" w:cs="David"/>
          <w:sz w:val="24"/>
          <w:szCs w:val="24"/>
          <w:rtl/>
        </w:rPr>
        <w:t xml:space="preserve">. </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b/>
          <w:bCs/>
          <w:sz w:val="24"/>
          <w:szCs w:val="24"/>
          <w:rtl/>
        </w:rPr>
      </w:pPr>
      <w:r>
        <w:rPr>
          <w:rFonts w:ascii="David" w:hAnsi="David" w:cs="David"/>
          <w:b/>
          <w:bCs/>
          <w:sz w:val="24"/>
          <w:szCs w:val="24"/>
          <w:rtl/>
        </w:rPr>
        <w:t xml:space="preserve">אולם במקרה דנן, התובעים לא הציגו כל מסמך, ואף לא טענו כי קיים כזה, שיש בו כדי לתמוך בטענתם לעסקת חליפין. </w:t>
      </w:r>
    </w:p>
    <w:p w:rsidR="00120007" w:rsidRDefault="00120007" w:rsidP="00DD307A">
      <w:pPr>
        <w:pStyle w:val="ad"/>
        <w:spacing w:line="240" w:lineRule="auto"/>
        <w:ind w:left="651" w:hanging="651"/>
        <w:jc w:val="both"/>
        <w:rPr>
          <w:rFonts w:ascii="David" w:hAnsi="David" w:cs="David"/>
          <w:b/>
          <w:bCs/>
          <w:sz w:val="24"/>
          <w:szCs w:val="24"/>
        </w:rPr>
      </w:pPr>
    </w:p>
    <w:p w:rsidR="00120007" w:rsidRDefault="00120007" w:rsidP="00120007">
      <w:pPr>
        <w:pStyle w:val="ad"/>
        <w:numPr>
          <w:ilvl w:val="0"/>
          <w:numId w:val="1"/>
        </w:numPr>
        <w:spacing w:line="360" w:lineRule="auto"/>
        <w:ind w:left="651" w:hanging="651"/>
        <w:jc w:val="both"/>
        <w:rPr>
          <w:rFonts w:ascii="David" w:hAnsi="David" w:cs="David"/>
          <w:b/>
          <w:bCs/>
          <w:sz w:val="24"/>
          <w:szCs w:val="24"/>
        </w:rPr>
      </w:pPr>
      <w:r>
        <w:rPr>
          <w:rFonts w:ascii="David" w:hAnsi="David" w:cs="David"/>
          <w:b/>
          <w:bCs/>
          <w:sz w:val="24"/>
          <w:szCs w:val="24"/>
          <w:rtl/>
        </w:rPr>
        <w:t>מצופה היה שאילו נעשתה עסקת חליפין, היה מוסדר הרישום בהתאם, או לכל הפחות היתה נרשמת הערת אזהרה, שלא לדבר על תיעוד כלשהו בכתב.</w:t>
      </w:r>
    </w:p>
    <w:p w:rsidR="00120007" w:rsidRDefault="00120007" w:rsidP="00DD307A">
      <w:pPr>
        <w:pStyle w:val="ad"/>
        <w:spacing w:line="240" w:lineRule="auto"/>
        <w:ind w:left="651" w:hanging="651"/>
        <w:rPr>
          <w:rFonts w:ascii="David" w:hAnsi="David" w:cs="David"/>
          <w:b/>
          <w:bCs/>
          <w:sz w:val="24"/>
          <w:szCs w:val="24"/>
        </w:rPr>
      </w:pPr>
    </w:p>
    <w:p w:rsidR="00120007" w:rsidRDefault="00120007" w:rsidP="00120007">
      <w:pPr>
        <w:pStyle w:val="ad"/>
        <w:numPr>
          <w:ilvl w:val="0"/>
          <w:numId w:val="1"/>
        </w:numPr>
        <w:spacing w:line="360" w:lineRule="auto"/>
        <w:ind w:left="651" w:hanging="651"/>
        <w:jc w:val="both"/>
        <w:rPr>
          <w:rFonts w:ascii="David" w:hAnsi="David" w:cs="David"/>
          <w:b/>
          <w:bCs/>
          <w:sz w:val="24"/>
          <w:szCs w:val="24"/>
          <w:rtl/>
        </w:rPr>
      </w:pPr>
      <w:r>
        <w:rPr>
          <w:rFonts w:ascii="David" w:hAnsi="David" w:cs="David"/>
          <w:b/>
          <w:bCs/>
          <w:sz w:val="24"/>
          <w:szCs w:val="24"/>
          <w:rtl/>
        </w:rPr>
        <w:t>גם אם סברו התובעים כי במקרה דנן לא ניתן היה לבצע את העברת הזכויות על שמם, או שהם סומכים על בני משפחתם, או שעצם השקעתם בבית מעידה על בעלותם בו, היה מצופה שידאגו לעגן עסקה זו בכתב, ולו במסמך פנימי, ואולי אף בפתק אחד, קטן ככל שיהיה, שהמנוחה צד לו, ממנו ניתן יהיה ללמוד כי אכן יש דבר בטענותיהם.</w:t>
      </w:r>
    </w:p>
    <w:p w:rsidR="00120007" w:rsidRDefault="00120007" w:rsidP="00DD307A">
      <w:pPr>
        <w:pStyle w:val="ad"/>
        <w:spacing w:line="240" w:lineRule="auto"/>
        <w:ind w:left="651" w:hanging="651"/>
        <w:jc w:val="both"/>
        <w:rPr>
          <w:rFonts w:ascii="David" w:hAnsi="David" w:cs="David"/>
          <w:b/>
          <w:bCs/>
          <w:sz w:val="24"/>
          <w:szCs w:val="24"/>
        </w:rPr>
      </w:pPr>
    </w:p>
    <w:p w:rsidR="00120007" w:rsidRDefault="00120007" w:rsidP="008E0D2F">
      <w:pPr>
        <w:pStyle w:val="ad"/>
        <w:numPr>
          <w:ilvl w:val="0"/>
          <w:numId w:val="1"/>
        </w:numPr>
        <w:spacing w:line="360" w:lineRule="auto"/>
        <w:ind w:left="651" w:hanging="651"/>
        <w:jc w:val="both"/>
        <w:rPr>
          <w:rFonts w:ascii="David" w:hAnsi="David" w:cs="David"/>
          <w:sz w:val="24"/>
          <w:szCs w:val="24"/>
        </w:rPr>
      </w:pPr>
      <w:r>
        <w:rPr>
          <w:rFonts w:ascii="David" w:hAnsi="David" w:cs="David"/>
          <w:sz w:val="24"/>
          <w:szCs w:val="24"/>
          <w:rtl/>
        </w:rPr>
        <w:t xml:space="preserve">לא נעלמה מעיני טענת התובעים לענין תום הלב ו"זעקת ההגינות" שבמקרים מסוימים יש בהם כדי להתגבר על עיקרון הכתב, אולם בכל הכבוד, ועם כל הצער שבפינוי התובעים את ביתם, אין זה המקרה שמצדיק שימוש בעקרונות אלה. </w:t>
      </w:r>
    </w:p>
    <w:p w:rsidR="00120007" w:rsidRDefault="00120007" w:rsidP="00120007">
      <w:pPr>
        <w:pStyle w:val="ad"/>
        <w:ind w:left="651" w:hanging="651"/>
        <w:rPr>
          <w:rFonts w:ascii="David" w:hAnsi="David" w:cs="David"/>
          <w:sz w:val="24"/>
          <w:szCs w:val="24"/>
        </w:rPr>
      </w:pPr>
    </w:p>
    <w:p w:rsidR="00120007" w:rsidRDefault="00120007" w:rsidP="008E0D2F">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 xml:space="preserve">כבוד הנשיא ברק (כתוארו אז) אכן קבע </w:t>
      </w:r>
      <w:r w:rsidRPr="00136376">
        <w:rPr>
          <w:rFonts w:ascii="David" w:hAnsi="David" w:cs="David"/>
          <w:sz w:val="24"/>
          <w:szCs w:val="24"/>
          <w:rtl/>
        </w:rPr>
        <w:t xml:space="preserve">בע"א </w:t>
      </w:r>
      <w:r w:rsidR="00136376" w:rsidRPr="00136376">
        <w:rPr>
          <w:rFonts w:ascii="David" w:hAnsi="David" w:cs="David" w:hint="cs"/>
          <w:sz w:val="24"/>
          <w:szCs w:val="24"/>
          <w:rtl/>
        </w:rPr>
        <w:t>986/93</w:t>
      </w:r>
      <w:r w:rsidR="00136376" w:rsidRPr="00136376">
        <w:rPr>
          <w:rFonts w:ascii="David" w:hAnsi="David" w:cs="David"/>
          <w:sz w:val="24"/>
          <w:szCs w:val="24"/>
          <w:rtl/>
        </w:rPr>
        <w:t xml:space="preserve"> </w:t>
      </w:r>
      <w:r w:rsidR="00136376" w:rsidRPr="00136376">
        <w:rPr>
          <w:rFonts w:ascii="David" w:hAnsi="David" w:cs="David"/>
          <w:b/>
          <w:bCs/>
          <w:sz w:val="24"/>
          <w:szCs w:val="24"/>
          <w:rtl/>
        </w:rPr>
        <w:t>יעקב קלמר נגד מאיר גיא ואח'</w:t>
      </w:r>
      <w:r w:rsidR="00136376">
        <w:rPr>
          <w:rFonts w:ascii="David" w:hAnsi="David" w:cs="David" w:hint="cs"/>
          <w:sz w:val="24"/>
          <w:szCs w:val="24"/>
          <w:rtl/>
        </w:rPr>
        <w:t xml:space="preserve"> (פורסם ביום 12.6.96)</w:t>
      </w:r>
      <w:r w:rsidR="00136376">
        <w:rPr>
          <w:rFonts w:ascii="David" w:hAnsi="David" w:cs="David"/>
          <w:sz w:val="24"/>
          <w:szCs w:val="24"/>
          <w:rtl/>
        </w:rPr>
        <w:t xml:space="preserve">. </w:t>
      </w:r>
      <w:r>
        <w:rPr>
          <w:rFonts w:ascii="David" w:hAnsi="David" w:cs="David"/>
          <w:sz w:val="24"/>
          <w:szCs w:val="24"/>
          <w:rtl/>
        </w:rPr>
        <w:t>- כי אין ליתן מראש רשימה סגורה של מצבים המצדיקים סטייה מעיקרון הכתב והוסיף כי אלה משתנים על פי נסיבות החיים ואף קיבל את גישתה של פרופ' נ' כהן לפיה "</w:t>
      </w:r>
      <w:r>
        <w:rPr>
          <w:rFonts w:ascii="David" w:hAnsi="David" w:cs="David"/>
          <w:b/>
          <w:bCs/>
          <w:sz w:val="24"/>
          <w:szCs w:val="24"/>
          <w:rtl/>
        </w:rPr>
        <w:t xml:space="preserve">ראוי להעניק לתפקיד מרכזי לשני רכיבים: האחד, האם התחולל שינוי מצב בעקבות החוזה (הבלתי אכיף או הבלתי תקף), כגון שהוא קוים או שהיתה עליו הסתמכות. השני, </w:t>
      </w:r>
      <w:r>
        <w:rPr>
          <w:rFonts w:ascii="David" w:hAnsi="David" w:cs="David"/>
          <w:b/>
          <w:bCs/>
          <w:sz w:val="24"/>
          <w:szCs w:val="24"/>
          <w:rtl/>
        </w:rPr>
        <w:lastRenderedPageBreak/>
        <w:t>מהי מידת אשמתו של הצד המתנער מביצוע החוזה. משקלם המצטבר של שני רכיבים אלה הוא שיכריע אם במקרה נתון ניתן לוותר על דרישת הכתב".</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 xml:space="preserve">אולם במקרה דנן, לא הצליחו התובעים לשכנע את בית המשפט כי לא היה בידם לפעול לשם רישום הזכויות במשך 23 שנים. </w:t>
      </w:r>
      <w:r>
        <w:rPr>
          <w:rFonts w:ascii="David" w:hAnsi="David" w:cs="David"/>
          <w:b/>
          <w:bCs/>
          <w:sz w:val="24"/>
          <w:szCs w:val="24"/>
          <w:rtl/>
        </w:rPr>
        <w:t>בית משפט זה סבור כי היה על התובעים, להסדיר את זכויותיהם מראש, ולא בדיעבד, וכי עצם ישיבתם ללא מעש, במשך שנים כה רבות, מטילה עליהם את האחריות, שלא לדבר על האשמה, לאי ביצוע הרישום</w:t>
      </w:r>
      <w:r>
        <w:rPr>
          <w:rFonts w:ascii="David" w:hAnsi="David" w:cs="David"/>
          <w:sz w:val="24"/>
          <w:szCs w:val="24"/>
          <w:rtl/>
        </w:rPr>
        <w:t>.</w:t>
      </w:r>
    </w:p>
    <w:p w:rsidR="00120007" w:rsidRDefault="00120007" w:rsidP="00120007">
      <w:pPr>
        <w:pStyle w:val="ad"/>
        <w:ind w:left="651" w:hanging="651"/>
        <w:rPr>
          <w:rFonts w:ascii="David" w:hAnsi="David" w:cs="David"/>
          <w:sz w:val="24"/>
          <w:szCs w:val="24"/>
        </w:rPr>
      </w:pPr>
    </w:p>
    <w:p w:rsidR="00DD307A" w:rsidRDefault="00120007" w:rsidP="00DD307A">
      <w:pPr>
        <w:pStyle w:val="ad"/>
        <w:numPr>
          <w:ilvl w:val="0"/>
          <w:numId w:val="1"/>
        </w:numPr>
        <w:spacing w:line="360" w:lineRule="auto"/>
        <w:ind w:left="651" w:hanging="651"/>
        <w:jc w:val="both"/>
        <w:rPr>
          <w:rFonts w:ascii="David" w:hAnsi="David" w:cs="David"/>
          <w:sz w:val="24"/>
          <w:szCs w:val="24"/>
        </w:rPr>
      </w:pPr>
      <w:r>
        <w:rPr>
          <w:rFonts w:ascii="David" w:hAnsi="David" w:cs="David"/>
          <w:sz w:val="24"/>
          <w:szCs w:val="24"/>
          <w:rtl/>
        </w:rPr>
        <w:t>במקרה דנן כאשר אין בפני בית משפט שום מסמך אשר ניתן לבחון אם עומד בדרישות הכתב של סעיף 8 לחוק, יאלץ הוא לבדוק בדיקה קפדנית, שמא מוכחות הטענות על ידי ראיות אחרות, ביניהם עדויות, תוך מתן משקל להתרשמותו שלו.</w:t>
      </w:r>
    </w:p>
    <w:p w:rsidR="00DD307A" w:rsidRPr="00DD307A" w:rsidRDefault="00DD307A" w:rsidP="00DD307A">
      <w:pPr>
        <w:pStyle w:val="ad"/>
        <w:rPr>
          <w:rFonts w:ascii="David" w:hAnsi="David" w:cs="David"/>
          <w:sz w:val="24"/>
          <w:szCs w:val="24"/>
          <w:rtl/>
        </w:rPr>
      </w:pPr>
    </w:p>
    <w:p w:rsidR="00120007" w:rsidRPr="00DD307A" w:rsidRDefault="00120007" w:rsidP="00DD307A">
      <w:pPr>
        <w:pStyle w:val="ad"/>
        <w:numPr>
          <w:ilvl w:val="0"/>
          <w:numId w:val="1"/>
        </w:numPr>
        <w:spacing w:line="360" w:lineRule="auto"/>
        <w:ind w:left="651" w:hanging="651"/>
        <w:jc w:val="both"/>
        <w:rPr>
          <w:rFonts w:ascii="David" w:hAnsi="David" w:cs="David"/>
          <w:sz w:val="24"/>
          <w:szCs w:val="24"/>
          <w:rtl/>
        </w:rPr>
      </w:pPr>
      <w:r w:rsidRPr="00DD307A">
        <w:rPr>
          <w:rFonts w:ascii="David" w:hAnsi="David" w:cs="David"/>
          <w:sz w:val="24"/>
          <w:szCs w:val="24"/>
          <w:rtl/>
        </w:rPr>
        <w:t xml:space="preserve">ובענין זה מקבל בית המשפט את טענות הנתבעים כי עדות התובע היתה לא </w:t>
      </w:r>
      <w:r w:rsidR="003C7A79" w:rsidRPr="00DD307A">
        <w:rPr>
          <w:rFonts w:ascii="David" w:hAnsi="David" w:cs="David" w:hint="cs"/>
          <w:sz w:val="24"/>
          <w:szCs w:val="24"/>
          <w:rtl/>
        </w:rPr>
        <w:t>מהימנה</w:t>
      </w:r>
      <w:r w:rsidR="00DD307A" w:rsidRPr="00DD307A">
        <w:rPr>
          <w:rFonts w:ascii="David" w:hAnsi="David" w:cs="David" w:hint="cs"/>
          <w:sz w:val="24"/>
          <w:szCs w:val="24"/>
          <w:rtl/>
        </w:rPr>
        <w:t xml:space="preserve">, כמפורט מעלה. </w:t>
      </w:r>
      <w:r w:rsidRPr="00DD307A">
        <w:rPr>
          <w:rFonts w:ascii="David" w:hAnsi="David" w:cs="David"/>
          <w:sz w:val="24"/>
          <w:szCs w:val="24"/>
          <w:rtl/>
        </w:rPr>
        <w:t xml:space="preserve">כך גם מקבל בית המשפט את טענות הנתבעים כי התובע נמנע מלהביא ראיות שיכולות אולי היו לבוא לטובתו וכידוע מבחירתו של בעל דין שלא להביא ראיה שבהישג ידו, ניתן להסיק שאילו הובאה הראיה, היתה פועלת כנגדו (ראו את שנפסק בע"א 548/78 </w:t>
      </w:r>
      <w:r w:rsidRPr="00DD307A">
        <w:rPr>
          <w:rFonts w:ascii="David" w:hAnsi="David" w:cs="David"/>
          <w:b/>
          <w:bCs/>
          <w:sz w:val="24"/>
          <w:szCs w:val="24"/>
          <w:rtl/>
        </w:rPr>
        <w:t>שרון נ' לוי, פד"י</w:t>
      </w:r>
      <w:r w:rsidRPr="00DD307A">
        <w:rPr>
          <w:rFonts w:ascii="David" w:hAnsi="David" w:cs="David"/>
          <w:sz w:val="24"/>
          <w:szCs w:val="24"/>
          <w:rtl/>
        </w:rPr>
        <w:t xml:space="preserve"> לה (1) 736, 760).</w:t>
      </w:r>
      <w:r w:rsidR="00DD307A">
        <w:rPr>
          <w:rFonts w:ascii="David" w:hAnsi="David" w:cs="David" w:hint="cs"/>
          <w:sz w:val="24"/>
          <w:szCs w:val="24"/>
          <w:rtl/>
        </w:rPr>
        <w:t xml:space="preserve"> </w:t>
      </w:r>
      <w:r w:rsidRPr="00DD307A">
        <w:rPr>
          <w:rFonts w:ascii="David" w:hAnsi="David" w:cs="David"/>
          <w:sz w:val="24"/>
          <w:szCs w:val="24"/>
          <w:rtl/>
        </w:rPr>
        <w:t xml:space="preserve">בית המשפט גם מקבל את טענות הנתבעים כי העדים שהובאו </w:t>
      </w:r>
      <w:r w:rsidR="00DD307A" w:rsidRPr="00DD307A">
        <w:rPr>
          <w:rFonts w:ascii="David" w:hAnsi="David" w:cs="David" w:hint="cs"/>
          <w:sz w:val="24"/>
          <w:szCs w:val="24"/>
          <w:rtl/>
        </w:rPr>
        <w:t xml:space="preserve">על ידי התובעים, </w:t>
      </w:r>
      <w:r w:rsidRPr="00DD307A">
        <w:rPr>
          <w:rFonts w:ascii="David" w:hAnsi="David" w:cs="David"/>
          <w:sz w:val="24"/>
          <w:szCs w:val="24"/>
          <w:rtl/>
        </w:rPr>
        <w:t>לא תמכו בטענות</w:t>
      </w:r>
      <w:r w:rsidR="00DD307A" w:rsidRPr="00DD307A">
        <w:rPr>
          <w:rFonts w:ascii="David" w:hAnsi="David" w:cs="David" w:hint="cs"/>
          <w:sz w:val="24"/>
          <w:szCs w:val="24"/>
          <w:rtl/>
        </w:rPr>
        <w:t>יהם.</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 xml:space="preserve">התובעים מבקשים למעשה להוכיח את עסקת החליפין באמצעות טענות נסיבתיות, אולם כאמור מעלה, לא מצאתי בהן משום הוכחה לקיומה של העסקה. </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b/>
          <w:bCs/>
          <w:sz w:val="24"/>
          <w:szCs w:val="24"/>
          <w:rtl/>
        </w:rPr>
      </w:pPr>
      <w:r>
        <w:rPr>
          <w:rFonts w:ascii="David" w:hAnsi="David" w:cs="David"/>
          <w:b/>
          <w:bCs/>
          <w:sz w:val="24"/>
          <w:szCs w:val="24"/>
          <w:rtl/>
        </w:rPr>
        <w:t xml:space="preserve">לא יכולה להיות מחלוקת כי יכולים היו התובעים והמנוחה לעגן בדרך כלשהי את "עסקת החליפין", ככל שזו אכן בוצעה. אם לא בהעברת הזכויות במלואן, ברישום הערת אזהרה. אם לא ברישום הערת אזהרה, בהסכם חתום. אם לא בהסכם חתום, במסמך בכתב. אם לא במסמך בכתב, בפתק. אם לא בפתק, בצילום. אם לא בצילום, בעדים לדבר. ואם לא בעדים לדבר, יכולה היתה המנוחה, לכל הפחות, להזכיר/לציין/לתת הוראה בגין עסקה זו בצוואתה. </w:t>
      </w:r>
      <w:r>
        <w:rPr>
          <w:rFonts w:ascii="David" w:hAnsi="David" w:cs="David"/>
          <w:b/>
          <w:bCs/>
          <w:sz w:val="24"/>
          <w:szCs w:val="24"/>
          <w:u w:val="single"/>
          <w:rtl/>
        </w:rPr>
        <w:t>ובמקרה דנן לא בוצע דבר. לא רישום, לא הסכם, לא מסמך, לא הוראה בצוואה, ואף לא היו עדים לדבר.</w:t>
      </w:r>
      <w:r>
        <w:rPr>
          <w:rFonts w:ascii="David" w:hAnsi="David" w:cs="David"/>
          <w:b/>
          <w:bCs/>
          <w:sz w:val="24"/>
          <w:szCs w:val="24"/>
          <w:rtl/>
        </w:rPr>
        <w:t xml:space="preserve"> </w:t>
      </w:r>
    </w:p>
    <w:p w:rsidR="00120007" w:rsidRDefault="00120007" w:rsidP="00120007">
      <w:pPr>
        <w:pStyle w:val="ad"/>
        <w:rPr>
          <w:rFonts w:ascii="David" w:hAnsi="David" w:cs="David"/>
          <w:b/>
          <w:bCs/>
          <w:sz w:val="24"/>
          <w:szCs w:val="24"/>
        </w:rPr>
      </w:pPr>
    </w:p>
    <w:p w:rsidR="00120007" w:rsidRDefault="00120007" w:rsidP="00120007">
      <w:pPr>
        <w:pStyle w:val="ad"/>
        <w:numPr>
          <w:ilvl w:val="0"/>
          <w:numId w:val="1"/>
        </w:numPr>
        <w:spacing w:line="360" w:lineRule="auto"/>
        <w:ind w:left="651" w:hanging="651"/>
        <w:jc w:val="both"/>
        <w:rPr>
          <w:rFonts w:ascii="David" w:hAnsi="David" w:cs="David"/>
          <w:b/>
          <w:bCs/>
          <w:sz w:val="24"/>
          <w:szCs w:val="24"/>
          <w:rtl/>
        </w:rPr>
      </w:pPr>
      <w:r>
        <w:rPr>
          <w:rFonts w:ascii="David" w:hAnsi="David" w:cs="David"/>
          <w:b/>
          <w:bCs/>
          <w:sz w:val="24"/>
          <w:szCs w:val="24"/>
          <w:rtl/>
        </w:rPr>
        <w:t>הלכה למעשה בית המשפט נדרש לעקוב אחר עמדתה של המנוחה, לאחר לכתה לבית עולמה, ומבלי שהותירה אף לא ראשית ראיה, שיש בה בכדי לתמוך בטענה המרכזית של התובעים, שאינה מעוגנת ברישום, לפיה בוצעה עסקת חליפין. כשכך הדבר, בית המשפט לא יכול להיעתר לתביעה.</w:t>
      </w:r>
    </w:p>
    <w:p w:rsidR="00120007" w:rsidRDefault="00120007" w:rsidP="00120007">
      <w:pPr>
        <w:pStyle w:val="ad"/>
        <w:ind w:left="651" w:hanging="651"/>
        <w:rPr>
          <w:rFonts w:ascii="David" w:hAnsi="David" w:cs="David"/>
          <w:sz w:val="24"/>
          <w:szCs w:val="24"/>
        </w:rPr>
      </w:pPr>
    </w:p>
    <w:p w:rsidR="00120007" w:rsidRDefault="00120007" w:rsidP="00DD307A">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lastRenderedPageBreak/>
        <w:t>למעשה, יכול היה בית המשפט להסתפק באמור לעיל על מנת לדחות את תביעת התובעים ולקבל את תביעת הנתבעים, אולם מאחר ועלו טענות נוספות על ידי הנתבעים, שיש בהם לחזק את תוצאת פסק דין זה, אפרוס אות</w:t>
      </w:r>
      <w:r w:rsidR="00DD307A">
        <w:rPr>
          <w:rFonts w:ascii="David" w:hAnsi="David" w:cs="David" w:hint="cs"/>
          <w:sz w:val="24"/>
          <w:szCs w:val="24"/>
          <w:rtl/>
        </w:rPr>
        <w:t>ן</w:t>
      </w:r>
      <w:r>
        <w:rPr>
          <w:rFonts w:ascii="David" w:hAnsi="David" w:cs="David"/>
          <w:sz w:val="24"/>
          <w:szCs w:val="24"/>
          <w:rtl/>
        </w:rPr>
        <w:t xml:space="preserve"> להלן.</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b/>
          <w:bCs/>
          <w:sz w:val="24"/>
          <w:szCs w:val="24"/>
          <w:u w:val="single"/>
          <w:rtl/>
        </w:rPr>
        <w:t>אי יכולתה של המנוחה לעשות את עסקת החליפין</w:t>
      </w:r>
      <w:r>
        <w:rPr>
          <w:rFonts w:ascii="David" w:hAnsi="David" w:cs="David"/>
          <w:sz w:val="24"/>
          <w:szCs w:val="24"/>
          <w:rtl/>
        </w:rPr>
        <w:t xml:space="preserve"> - הנתבעים טענו כי המנוחה לא יכולה  היתה לבצע עסקת חליפין על הבית ב</w:t>
      </w:r>
      <w:r w:rsidR="00EE0F14">
        <w:rPr>
          <w:rFonts w:ascii="David" w:hAnsi="David" w:cs="David"/>
          <w:sz w:val="24"/>
          <w:szCs w:val="24"/>
        </w:rPr>
        <w:t>xxx</w:t>
      </w:r>
      <w:r>
        <w:rPr>
          <w:rFonts w:ascii="David" w:hAnsi="David" w:cs="David"/>
          <w:sz w:val="24"/>
          <w:szCs w:val="24"/>
          <w:rtl/>
        </w:rPr>
        <w:t>, משלא כל הזכויות בו היו בבעלותה. בענין שאלת הזכויות בבית ב</w:t>
      </w:r>
      <w:r w:rsidR="00EE0F14">
        <w:rPr>
          <w:rFonts w:ascii="David" w:hAnsi="David" w:cs="David"/>
          <w:sz w:val="24"/>
          <w:szCs w:val="24"/>
        </w:rPr>
        <w:t>xxx</w:t>
      </w:r>
      <w:r>
        <w:rPr>
          <w:rFonts w:ascii="David" w:hAnsi="David" w:cs="David"/>
          <w:sz w:val="24"/>
          <w:szCs w:val="24"/>
          <w:rtl/>
        </w:rPr>
        <w:t>, טרם מותה של המנוחה, אין מחלוקת.</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המנוח הלך לעולמו טרם פטירת המנוחה, ומשלא היתה לו צוואה, ילדיו ירשו 25% מהזכויות בבית ב</w:t>
      </w:r>
      <w:r w:rsidR="00EE0F14">
        <w:rPr>
          <w:rFonts w:ascii="David" w:hAnsi="David" w:cs="David"/>
          <w:sz w:val="24"/>
          <w:szCs w:val="24"/>
        </w:rPr>
        <w:t>xxx</w:t>
      </w:r>
      <w:r>
        <w:rPr>
          <w:rFonts w:ascii="David" w:hAnsi="David" w:cs="David"/>
          <w:sz w:val="24"/>
          <w:szCs w:val="24"/>
          <w:rtl/>
        </w:rPr>
        <w:t xml:space="preserve"> – שהן מחצית מזכויותיו. בין היורשים, כאמור מעלה, הנתבעים. </w:t>
      </w:r>
    </w:p>
    <w:p w:rsidR="00120007" w:rsidRDefault="00120007" w:rsidP="00120007">
      <w:pPr>
        <w:pStyle w:val="ad"/>
        <w:ind w:left="651" w:hanging="651"/>
        <w:rPr>
          <w:rFonts w:ascii="David" w:hAnsi="David" w:cs="David"/>
          <w:sz w:val="24"/>
          <w:szCs w:val="24"/>
        </w:rPr>
      </w:pPr>
    </w:p>
    <w:p w:rsidR="00120007" w:rsidRDefault="00120007" w:rsidP="00DD307A">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 xml:space="preserve">גם מטעם זה לבדו לא ניתן לקבל את טענות התובעים לעסקת חליפין, שהרי ברור שאדם לא יכול לעשות עסקאות בנכסים שאינם שלו. במקרה דנן, גם אם היה הסכם כתוב, רק בין המנוחה לבין התובעים, היתה עומדת לנתבעים הזכות לטעון לביטולו. משאין זה המצב לא נדרשתי לו, אולם יש בכך בכדי לחזק את טענות </w:t>
      </w:r>
      <w:r w:rsidR="00DD307A">
        <w:rPr>
          <w:rFonts w:ascii="David" w:hAnsi="David" w:cs="David" w:hint="cs"/>
          <w:sz w:val="24"/>
          <w:szCs w:val="24"/>
          <w:rtl/>
        </w:rPr>
        <w:t>הנתבעים</w:t>
      </w:r>
      <w:r>
        <w:rPr>
          <w:rFonts w:ascii="David" w:hAnsi="David" w:cs="David"/>
          <w:sz w:val="24"/>
          <w:szCs w:val="24"/>
          <w:rtl/>
        </w:rPr>
        <w:t xml:space="preserve"> כי לא יכולה היתה להיעשות עסקת חליפין.</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b/>
          <w:bCs/>
          <w:sz w:val="24"/>
          <w:szCs w:val="24"/>
          <w:u w:val="single"/>
          <w:rtl/>
        </w:rPr>
        <w:t>התנהלות התובעים בקשר לדירה ב</w:t>
      </w:r>
      <w:r w:rsidR="00EE0F14">
        <w:rPr>
          <w:rFonts w:ascii="David" w:hAnsi="David" w:cs="David"/>
          <w:b/>
          <w:bCs/>
          <w:sz w:val="24"/>
          <w:szCs w:val="24"/>
          <w:u w:val="single"/>
        </w:rPr>
        <w:t>xxx</w:t>
      </w:r>
      <w:r>
        <w:rPr>
          <w:rFonts w:ascii="David" w:hAnsi="David" w:cs="David"/>
          <w:b/>
          <w:bCs/>
          <w:sz w:val="24"/>
          <w:szCs w:val="24"/>
          <w:u w:val="single"/>
          <w:rtl/>
        </w:rPr>
        <w:t xml:space="preserve"> לאחר מות המנוחה</w:t>
      </w:r>
      <w:r>
        <w:rPr>
          <w:rFonts w:ascii="David" w:hAnsi="David" w:cs="David"/>
          <w:b/>
          <w:bCs/>
          <w:sz w:val="24"/>
          <w:szCs w:val="24"/>
          <w:rtl/>
        </w:rPr>
        <w:t xml:space="preserve"> – </w:t>
      </w:r>
      <w:r>
        <w:rPr>
          <w:rFonts w:ascii="David" w:hAnsi="David" w:cs="David"/>
          <w:sz w:val="24"/>
          <w:szCs w:val="24"/>
          <w:rtl/>
        </w:rPr>
        <w:t>הנתבעים טענו כי לו סברו התובעים כי הדירה ב</w:t>
      </w:r>
      <w:r w:rsidR="00EE0F14">
        <w:rPr>
          <w:rFonts w:ascii="David" w:hAnsi="David" w:cs="David"/>
          <w:sz w:val="24"/>
          <w:szCs w:val="24"/>
        </w:rPr>
        <w:t>xxx</w:t>
      </w:r>
      <w:r>
        <w:rPr>
          <w:rFonts w:ascii="David" w:hAnsi="David" w:cs="David"/>
          <w:sz w:val="24"/>
          <w:szCs w:val="24"/>
          <w:rtl/>
        </w:rPr>
        <w:t xml:space="preserve"> הינה של המנוחה, אזי מדוע נהגו בה, לאחר מות המנוחה, מנהג בעלים, השכירו אותה ונטלו לכיסם את דמי השכירות, כאשר, לשיטתם מדובר בעיזבון המנוחה, והנתבעים חלק מירושה. לא ניתן להתעלם מטענה זו, יחד עם זאת מדובר בתקופה קצרה יחסית, ועל כן בית המשפט נתן לה משקל קל.</w:t>
      </w:r>
    </w:p>
    <w:p w:rsidR="00120007" w:rsidRDefault="00120007" w:rsidP="00120007">
      <w:pPr>
        <w:pStyle w:val="ad"/>
        <w:ind w:left="651" w:hanging="651"/>
        <w:rPr>
          <w:rFonts w:ascii="David" w:hAnsi="David" w:cs="David"/>
          <w:b/>
          <w:bCs/>
          <w:sz w:val="24"/>
          <w:szCs w:val="24"/>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b/>
          <w:bCs/>
          <w:sz w:val="24"/>
          <w:szCs w:val="24"/>
          <w:u w:val="single"/>
          <w:rtl/>
        </w:rPr>
        <w:t>פער בין שווי הנכסים</w:t>
      </w:r>
      <w:r>
        <w:rPr>
          <w:rFonts w:ascii="David" w:hAnsi="David" w:cs="David"/>
          <w:sz w:val="24"/>
          <w:szCs w:val="24"/>
          <w:rtl/>
        </w:rPr>
        <w:t xml:space="preserve"> - את טענת הנתבעים כי הפער שהיה קיים בשווי הנכסים, אז בשנת 1994, בסך של כ- 30,000$, מעיד כי לא יכול להיות שנעשתה עסקת חליפין, אינני יכולה לקבל במלואה. ראשית, עסקאות מרצון אינן מחייבות כי החליפין יהיה שווה ערך. שנית, אין מדובר בפער קיצוני, בוודאי לא אם אקבל את החישוב שהציגו התובעים לגבי השווי של הבית ב</w:t>
      </w:r>
      <w:r w:rsidR="00EE0F14">
        <w:rPr>
          <w:rFonts w:ascii="David" w:hAnsi="David" w:cs="David"/>
          <w:sz w:val="24"/>
          <w:szCs w:val="24"/>
        </w:rPr>
        <w:t>xxx</w:t>
      </w:r>
      <w:r>
        <w:rPr>
          <w:rFonts w:ascii="David" w:hAnsi="David" w:cs="David"/>
          <w:sz w:val="24"/>
          <w:szCs w:val="24"/>
          <w:rtl/>
        </w:rPr>
        <w:t>, בניכוי חלקו של התובע בזכויות מכח צוואת המנוח. מאחר ואין זו הטענה היחידה, לא נתתי לה משקל בהכרעתי.</w:t>
      </w:r>
    </w:p>
    <w:p w:rsidR="00120007" w:rsidRDefault="00120007" w:rsidP="00120007">
      <w:pPr>
        <w:pStyle w:val="ad"/>
        <w:ind w:left="651" w:hanging="651"/>
        <w:rPr>
          <w:rFonts w:ascii="David" w:hAnsi="David" w:cs="David"/>
          <w:sz w:val="24"/>
          <w:szCs w:val="24"/>
        </w:rPr>
      </w:pPr>
    </w:p>
    <w:p w:rsidR="00120007" w:rsidRPr="0050509F" w:rsidRDefault="00120007" w:rsidP="00DD307A">
      <w:pPr>
        <w:pStyle w:val="ad"/>
        <w:numPr>
          <w:ilvl w:val="0"/>
          <w:numId w:val="1"/>
        </w:numPr>
        <w:spacing w:line="360" w:lineRule="auto"/>
        <w:ind w:left="651" w:hanging="651"/>
        <w:jc w:val="both"/>
        <w:rPr>
          <w:rFonts w:ascii="David" w:hAnsi="David" w:cs="David"/>
          <w:sz w:val="24"/>
          <w:szCs w:val="24"/>
          <w:rtl/>
        </w:rPr>
      </w:pPr>
      <w:r w:rsidRPr="00DD307A">
        <w:rPr>
          <w:rFonts w:ascii="David" w:hAnsi="David" w:cs="David"/>
          <w:b/>
          <w:bCs/>
          <w:sz w:val="24"/>
          <w:szCs w:val="24"/>
          <w:u w:val="single"/>
          <w:rtl/>
        </w:rPr>
        <w:t>התובע האריך את חוזה החכירה וגם אז לא פעל לשם ביצוע שינוי רישום הזכויות</w:t>
      </w:r>
      <w:r>
        <w:rPr>
          <w:rFonts w:ascii="David" w:hAnsi="David" w:cs="David"/>
          <w:sz w:val="24"/>
          <w:szCs w:val="24"/>
          <w:rtl/>
        </w:rPr>
        <w:t xml:space="preserve"> – התובע נשאל בחקירתו, מדוע כאשר כבר פעל להארכת חוזה החכירה, בשנת 2015, לא הסדיר את הרישום על שמו, בעוד המנוחה היתה בחיים, ותשובתו היתה </w:t>
      </w:r>
      <w:r w:rsidR="00DD307A">
        <w:rPr>
          <w:rFonts w:ascii="David" w:hAnsi="David" w:cs="David"/>
          <w:sz w:val="24"/>
          <w:szCs w:val="24"/>
          <w:rtl/>
        </w:rPr>
        <w:t xml:space="preserve">לא </w:t>
      </w:r>
      <w:r w:rsidR="00DD307A">
        <w:rPr>
          <w:rFonts w:ascii="David" w:hAnsi="David" w:cs="David" w:hint="cs"/>
          <w:sz w:val="24"/>
          <w:szCs w:val="24"/>
          <w:rtl/>
        </w:rPr>
        <w:t>מבוססת</w:t>
      </w:r>
      <w:r>
        <w:rPr>
          <w:rFonts w:ascii="David" w:hAnsi="David" w:cs="David"/>
          <w:sz w:val="24"/>
          <w:szCs w:val="24"/>
          <w:rtl/>
        </w:rPr>
        <w:t xml:space="preserve">. התובע השיב כי אימו (המנוחה) נפלה למשכב וגם אחותו ולא היה לו זמן להתעסק עם זה. כאשר נשאל אם יש לו עדות או ראיה לכך שב- 2015 המנוחה לא היתה מסוגלת לחתום על העברת הבעלות, השיב </w:t>
      </w:r>
      <w:r>
        <w:rPr>
          <w:rFonts w:ascii="David" w:hAnsi="David" w:cs="David"/>
          <w:sz w:val="24"/>
          <w:szCs w:val="24"/>
          <w:rtl/>
        </w:rPr>
        <w:lastRenderedPageBreak/>
        <w:t xml:space="preserve">שיש לו המון ראיות ואם היו מבקשים ממנו להביא היה מביא </w:t>
      </w:r>
      <w:r w:rsidRPr="0050509F">
        <w:rPr>
          <w:rFonts w:ascii="David" w:hAnsi="David" w:cs="David"/>
          <w:sz w:val="24"/>
          <w:szCs w:val="24"/>
          <w:rtl/>
        </w:rPr>
        <w:t>אותם (ראו פרוטוקול דיון מיום 8.1.23 עמוד 47 שורות 2-7).</w:t>
      </w:r>
    </w:p>
    <w:p w:rsidR="00120007" w:rsidRDefault="00120007" w:rsidP="00120007">
      <w:pPr>
        <w:pStyle w:val="ad"/>
        <w:ind w:left="651" w:hanging="651"/>
        <w:rPr>
          <w:rFonts w:ascii="David" w:hAnsi="David" w:cs="David"/>
          <w:sz w:val="24"/>
          <w:szCs w:val="24"/>
          <w:highlight w:val="green"/>
        </w:rPr>
      </w:pPr>
    </w:p>
    <w:p w:rsidR="00120007"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נהיר כי ככל שאכן לתובע היו ראיות שיש בהן כדי לתמוך בטענה זו היה מביאן ומציגן בפני בית המשפט, משלא עשה כן, לא ניתן ליתן משקל לתשובתו, ועל כן נשאלת השאלה שוב – מדוע בחר התובע, עת המנוחה עוד היתה בחיים, לפעול מול המנהל, לשלם עבור הארכת חוזה החכירה ולא דאג לפעול לשם שינוי רישום הזכויות בבית ב</w:t>
      </w:r>
      <w:r w:rsidR="00EE0F14">
        <w:rPr>
          <w:rFonts w:ascii="David" w:hAnsi="David" w:cs="David"/>
          <w:sz w:val="24"/>
          <w:szCs w:val="24"/>
        </w:rPr>
        <w:t>xxx</w:t>
      </w:r>
      <w:r>
        <w:rPr>
          <w:rFonts w:ascii="David" w:hAnsi="David" w:cs="David"/>
          <w:sz w:val="24"/>
          <w:szCs w:val="24"/>
          <w:rtl/>
        </w:rPr>
        <w:t>???</w:t>
      </w:r>
    </w:p>
    <w:p w:rsidR="00120007" w:rsidRDefault="00120007" w:rsidP="00120007">
      <w:pPr>
        <w:pStyle w:val="ad"/>
        <w:ind w:left="651" w:hanging="651"/>
        <w:rPr>
          <w:rFonts w:ascii="David" w:hAnsi="David" w:cs="David"/>
          <w:sz w:val="24"/>
          <w:szCs w:val="24"/>
        </w:rPr>
      </w:pPr>
    </w:p>
    <w:p w:rsidR="00120007" w:rsidRDefault="00120007" w:rsidP="00120007">
      <w:pPr>
        <w:pStyle w:val="ad"/>
        <w:numPr>
          <w:ilvl w:val="0"/>
          <w:numId w:val="1"/>
        </w:numPr>
        <w:spacing w:line="360" w:lineRule="auto"/>
        <w:ind w:left="651" w:hanging="651"/>
        <w:jc w:val="both"/>
        <w:rPr>
          <w:rFonts w:ascii="David" w:hAnsi="David" w:cs="David"/>
          <w:b/>
          <w:bCs/>
          <w:sz w:val="24"/>
          <w:szCs w:val="24"/>
          <w:rtl/>
        </w:rPr>
      </w:pPr>
      <w:r>
        <w:rPr>
          <w:rFonts w:ascii="David" w:hAnsi="David" w:cs="David"/>
          <w:b/>
          <w:bCs/>
          <w:sz w:val="24"/>
          <w:szCs w:val="24"/>
          <w:rtl/>
        </w:rPr>
        <w:t>ועתה אדון בשאלת ההשקעות/ההשבחות של התובעים בבית ב</w:t>
      </w:r>
      <w:r w:rsidR="00EE0F14">
        <w:rPr>
          <w:rFonts w:ascii="David" w:hAnsi="David" w:cs="David"/>
          <w:b/>
          <w:bCs/>
          <w:sz w:val="24"/>
          <w:szCs w:val="24"/>
        </w:rPr>
        <w:t>xxx</w:t>
      </w:r>
      <w:r>
        <w:rPr>
          <w:rFonts w:ascii="David" w:hAnsi="David" w:cs="David"/>
          <w:b/>
          <w:bCs/>
          <w:sz w:val="24"/>
          <w:szCs w:val="24"/>
          <w:rtl/>
        </w:rPr>
        <w:t>.</w:t>
      </w:r>
    </w:p>
    <w:p w:rsidR="00120007" w:rsidRDefault="00120007" w:rsidP="00120007">
      <w:pPr>
        <w:pStyle w:val="ad"/>
        <w:ind w:left="651" w:hanging="651"/>
        <w:rPr>
          <w:rFonts w:ascii="David" w:hAnsi="David" w:cs="David"/>
          <w:sz w:val="24"/>
          <w:szCs w:val="24"/>
        </w:rPr>
      </w:pPr>
    </w:p>
    <w:p w:rsidR="00120007" w:rsidRPr="0050509F"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לטענת התובעים הם הרסו את כל הבית ב</w:t>
      </w:r>
      <w:r w:rsidR="00EE0F14">
        <w:rPr>
          <w:rFonts w:ascii="David" w:hAnsi="David" w:cs="David"/>
          <w:sz w:val="24"/>
          <w:szCs w:val="24"/>
        </w:rPr>
        <w:t>xxx</w:t>
      </w:r>
      <w:r>
        <w:rPr>
          <w:rFonts w:ascii="David" w:hAnsi="David" w:cs="David"/>
          <w:sz w:val="24"/>
          <w:szCs w:val="24"/>
          <w:rtl/>
        </w:rPr>
        <w:t xml:space="preserve"> לחלוטין ובנו אותו מחדש, וזה שווה היום כמיליון ₪. כנשאל התובע בחקירתו כמה זה עלה, לא כמה זה שווה היום השיב "אני חושב 400,000-500,000 ₪. כשנשאל, מדוע אם כך כתב בתצהירו 1.2 מיליון השיב "</w:t>
      </w:r>
      <w:r>
        <w:rPr>
          <w:rFonts w:ascii="David" w:hAnsi="David" w:cs="David"/>
          <w:b/>
          <w:bCs/>
          <w:sz w:val="24"/>
          <w:szCs w:val="24"/>
          <w:rtl/>
        </w:rPr>
        <w:t xml:space="preserve">הוספתי עוד 50 מ"ר </w:t>
      </w:r>
      <w:r w:rsidRPr="0050509F">
        <w:rPr>
          <w:rFonts w:ascii="David" w:hAnsi="David" w:cs="David"/>
          <w:b/>
          <w:bCs/>
          <w:sz w:val="24"/>
          <w:szCs w:val="24"/>
          <w:rtl/>
        </w:rPr>
        <w:t>תוספת ויש עוד דירה לבן שלי שגם אותה בניתי.... אני חושב שהכל ביחד.... היה מיליון מאתיים</w:t>
      </w:r>
      <w:r w:rsidR="00BF61E8">
        <w:rPr>
          <w:rFonts w:ascii="David" w:hAnsi="David" w:cs="David"/>
          <w:sz w:val="24"/>
          <w:szCs w:val="24"/>
          <w:rtl/>
        </w:rPr>
        <w:t>" (פרוטוקול דיון מיום 8.1.23</w:t>
      </w:r>
      <w:r w:rsidR="00BF61E8">
        <w:rPr>
          <w:rFonts w:ascii="David" w:hAnsi="David" w:cs="David" w:hint="cs"/>
          <w:sz w:val="24"/>
          <w:szCs w:val="24"/>
          <w:rtl/>
        </w:rPr>
        <w:t xml:space="preserve"> </w:t>
      </w:r>
      <w:r w:rsidRPr="0050509F">
        <w:rPr>
          <w:rFonts w:ascii="David" w:hAnsi="David" w:cs="David"/>
          <w:sz w:val="24"/>
          <w:szCs w:val="24"/>
          <w:rtl/>
        </w:rPr>
        <w:t>עמוד 53 שורות 1-9).</w:t>
      </w:r>
    </w:p>
    <w:p w:rsidR="00120007" w:rsidRDefault="00120007" w:rsidP="00120007">
      <w:pPr>
        <w:pStyle w:val="ad"/>
        <w:ind w:left="651" w:hanging="651"/>
        <w:rPr>
          <w:rFonts w:ascii="David" w:hAnsi="David" w:cs="David"/>
          <w:sz w:val="24"/>
          <w:szCs w:val="24"/>
        </w:rPr>
      </w:pPr>
    </w:p>
    <w:p w:rsidR="00120007" w:rsidRPr="0050509F"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התובע העיד שהגדיל את הבית ב</w:t>
      </w:r>
      <w:r w:rsidR="00EE0F14">
        <w:rPr>
          <w:rFonts w:ascii="David" w:hAnsi="David" w:cs="David"/>
          <w:sz w:val="24"/>
          <w:szCs w:val="24"/>
        </w:rPr>
        <w:t>xxx</w:t>
      </w:r>
      <w:r>
        <w:rPr>
          <w:rFonts w:ascii="David" w:hAnsi="David" w:cs="David"/>
          <w:sz w:val="24"/>
          <w:szCs w:val="24"/>
          <w:rtl/>
        </w:rPr>
        <w:t xml:space="preserve"> מ- 80 מ"ר בערך ל- 135 מ"ר וכאשר התבקש להראות קבלה או מסמך שקשור לבנייה </w:t>
      </w:r>
      <w:r w:rsidRPr="0050509F">
        <w:rPr>
          <w:rFonts w:ascii="David" w:hAnsi="David" w:cs="David"/>
          <w:sz w:val="24"/>
          <w:szCs w:val="24"/>
          <w:rtl/>
        </w:rPr>
        <w:t>השיב כי אין בידו כלום (פרוטוקול הדיון מיום 8.1.23 עמוד 54 שורות 8-18).</w:t>
      </w:r>
    </w:p>
    <w:p w:rsidR="00120007" w:rsidRDefault="00120007" w:rsidP="00120007">
      <w:pPr>
        <w:pStyle w:val="ad"/>
        <w:ind w:left="651" w:hanging="651"/>
        <w:rPr>
          <w:rFonts w:ascii="David" w:hAnsi="David" w:cs="David"/>
          <w:sz w:val="24"/>
          <w:szCs w:val="24"/>
        </w:rPr>
      </w:pPr>
    </w:p>
    <w:p w:rsidR="00120007" w:rsidRPr="0050509F" w:rsidRDefault="00120007" w:rsidP="00120007">
      <w:pPr>
        <w:pStyle w:val="ad"/>
        <w:numPr>
          <w:ilvl w:val="0"/>
          <w:numId w:val="1"/>
        </w:numPr>
        <w:spacing w:line="360" w:lineRule="auto"/>
        <w:ind w:left="651" w:hanging="651"/>
        <w:jc w:val="both"/>
        <w:rPr>
          <w:rFonts w:ascii="David" w:hAnsi="David" w:cs="David"/>
          <w:sz w:val="24"/>
          <w:szCs w:val="24"/>
          <w:rtl/>
        </w:rPr>
      </w:pPr>
      <w:r>
        <w:rPr>
          <w:rFonts w:ascii="David" w:hAnsi="David" w:cs="David"/>
          <w:sz w:val="24"/>
          <w:szCs w:val="24"/>
          <w:rtl/>
        </w:rPr>
        <w:t>גם לגבי היתרי הבנ</w:t>
      </w:r>
      <w:r w:rsidR="0050509F">
        <w:rPr>
          <w:rFonts w:ascii="David" w:hAnsi="David" w:cs="David"/>
          <w:sz w:val="24"/>
          <w:szCs w:val="24"/>
          <w:rtl/>
        </w:rPr>
        <w:t xml:space="preserve">ייה לתוספות שבנה העיד התובע כי </w:t>
      </w:r>
      <w:r>
        <w:rPr>
          <w:rFonts w:ascii="David" w:hAnsi="David" w:cs="David"/>
          <w:sz w:val="24"/>
          <w:szCs w:val="24"/>
          <w:rtl/>
        </w:rPr>
        <w:t xml:space="preserve">אין בידו מסמכים, או כפי שהשיב - יכול להיות ששלח בעבר בקשות ולא קיבל. כך גם הוסיף והעיד שגם כיום אין כל היתר בניה  על כל התוספות </w:t>
      </w:r>
      <w:r w:rsidRPr="0050509F">
        <w:rPr>
          <w:rFonts w:ascii="David" w:hAnsi="David" w:cs="David"/>
          <w:sz w:val="24"/>
          <w:szCs w:val="24"/>
          <w:rtl/>
        </w:rPr>
        <w:t>שנבנו (פרוטוקול הדיון מיום 8.1.23 עמוד 54 שורות 19-29). ולבסוף, כאשר נשאל אם יש לו שם של מישהו שבנה עבורו, השיב שכן, וכאשר נשאל מדוע לא הביא אותו לעדות, כי זה יכול היה להוות ראיה שאכן בנה, השיב "</w:t>
      </w:r>
      <w:r w:rsidRPr="0050509F">
        <w:rPr>
          <w:rFonts w:ascii="David" w:hAnsi="David" w:cs="David"/>
          <w:b/>
          <w:bCs/>
          <w:sz w:val="24"/>
          <w:szCs w:val="24"/>
          <w:rtl/>
        </w:rPr>
        <w:t>אני אביא את האדם</w:t>
      </w:r>
      <w:r w:rsidRPr="0050509F">
        <w:rPr>
          <w:rFonts w:ascii="David" w:hAnsi="David" w:cs="David"/>
          <w:sz w:val="24"/>
          <w:szCs w:val="24"/>
          <w:rtl/>
        </w:rPr>
        <w:t>" (פרוטוקול הדיון מיום 8.1.23 עמוד 55 שורות 1-10). אין צורך לציין כי שלב הראיות הסתיים, ועל כן לא ניתן לקבל תשובה זו.</w:t>
      </w:r>
    </w:p>
    <w:p w:rsidR="00120007" w:rsidRDefault="00120007" w:rsidP="00120007">
      <w:pPr>
        <w:spacing w:line="360" w:lineRule="auto"/>
        <w:ind w:left="651" w:hanging="651"/>
        <w:jc w:val="both"/>
        <w:rPr>
          <w:rFonts w:ascii="David" w:hAnsi="David"/>
          <w:b/>
          <w:bCs/>
          <w:sz w:val="26"/>
          <w:szCs w:val="26"/>
          <w:u w:val="single"/>
          <w:rtl/>
        </w:rPr>
      </w:pPr>
      <w:r>
        <w:rPr>
          <w:rFonts w:ascii="David" w:hAnsi="David"/>
          <w:b/>
          <w:bCs/>
          <w:sz w:val="26"/>
          <w:szCs w:val="26"/>
          <w:u w:val="single"/>
          <w:rtl/>
        </w:rPr>
        <w:t>סוף דבר</w:t>
      </w:r>
    </w:p>
    <w:p w:rsidR="00BF61E8" w:rsidRDefault="00BF61E8" w:rsidP="00BF61E8">
      <w:pPr>
        <w:pStyle w:val="ad"/>
        <w:spacing w:line="240" w:lineRule="auto"/>
        <w:ind w:left="651"/>
        <w:jc w:val="both"/>
        <w:rPr>
          <w:rFonts w:ascii="David" w:hAnsi="David" w:cs="David"/>
          <w:sz w:val="24"/>
          <w:szCs w:val="24"/>
        </w:rPr>
      </w:pPr>
    </w:p>
    <w:p w:rsidR="00120007" w:rsidRDefault="00BF61E8" w:rsidP="006946D2">
      <w:pPr>
        <w:pStyle w:val="ad"/>
        <w:numPr>
          <w:ilvl w:val="0"/>
          <w:numId w:val="1"/>
        </w:numPr>
        <w:spacing w:line="360" w:lineRule="auto"/>
        <w:ind w:left="651" w:hanging="651"/>
        <w:jc w:val="both"/>
        <w:rPr>
          <w:rFonts w:ascii="David" w:hAnsi="David" w:cs="David"/>
          <w:sz w:val="24"/>
          <w:szCs w:val="24"/>
        </w:rPr>
      </w:pPr>
      <w:r w:rsidRPr="00BF61E8">
        <w:rPr>
          <w:rFonts w:ascii="David" w:hAnsi="David" w:cs="David" w:hint="cs"/>
          <w:sz w:val="24"/>
          <w:szCs w:val="24"/>
          <w:rtl/>
        </w:rPr>
        <w:t xml:space="preserve">מכל המקובץ לעיל, </w:t>
      </w:r>
      <w:r w:rsidR="00120007" w:rsidRPr="00BF61E8">
        <w:rPr>
          <w:rFonts w:ascii="David" w:hAnsi="David" w:cs="David"/>
          <w:sz w:val="24"/>
          <w:szCs w:val="24"/>
          <w:rtl/>
        </w:rPr>
        <w:t>דין תביעת התובעים ל</w:t>
      </w:r>
      <w:r w:rsidRPr="00BF61E8">
        <w:rPr>
          <w:rFonts w:ascii="David" w:hAnsi="David" w:cs="David" w:hint="cs"/>
          <w:sz w:val="24"/>
          <w:szCs w:val="24"/>
          <w:rtl/>
        </w:rPr>
        <w:t>מ</w:t>
      </w:r>
      <w:r w:rsidR="00120007" w:rsidRPr="00BF61E8">
        <w:rPr>
          <w:rFonts w:ascii="David" w:hAnsi="David" w:cs="David"/>
          <w:sz w:val="24"/>
          <w:szCs w:val="24"/>
          <w:rtl/>
        </w:rPr>
        <w:t xml:space="preserve">תן פסק דין הצהרתי הקובע כי </w:t>
      </w:r>
      <w:r w:rsidR="00A916BE" w:rsidRPr="00BF61E8">
        <w:rPr>
          <w:rFonts w:ascii="David" w:hAnsi="David" w:cs="David" w:hint="cs"/>
          <w:sz w:val="24"/>
          <w:szCs w:val="24"/>
          <w:rtl/>
        </w:rPr>
        <w:t>הינם זכאים להירשם כבעלים של מלוא זכויות המנוחה בבית ב</w:t>
      </w:r>
      <w:r w:rsidR="00EE0F14">
        <w:rPr>
          <w:rFonts w:ascii="David" w:hAnsi="David" w:cs="David" w:hint="cs"/>
          <w:sz w:val="24"/>
          <w:szCs w:val="24"/>
        </w:rPr>
        <w:t>xxx</w:t>
      </w:r>
      <w:r w:rsidR="00A916BE" w:rsidRPr="00BF61E8">
        <w:rPr>
          <w:rFonts w:ascii="David" w:hAnsi="David" w:cs="David" w:hint="cs"/>
          <w:sz w:val="24"/>
          <w:szCs w:val="24"/>
          <w:rtl/>
        </w:rPr>
        <w:t xml:space="preserve"> (המהווים 80% מזכויות החכירה המהוונות)</w:t>
      </w:r>
      <w:r w:rsidR="00120007" w:rsidRPr="00BF61E8">
        <w:rPr>
          <w:rFonts w:ascii="David" w:hAnsi="David" w:cs="David"/>
          <w:sz w:val="24"/>
          <w:szCs w:val="24"/>
          <w:rtl/>
        </w:rPr>
        <w:t xml:space="preserve">, בהליך 24044-09-20 להידחות. </w:t>
      </w:r>
    </w:p>
    <w:p w:rsidR="00BF61E8" w:rsidRPr="00BF61E8" w:rsidRDefault="00BF61E8" w:rsidP="00BF61E8">
      <w:pPr>
        <w:pStyle w:val="ad"/>
        <w:spacing w:line="360" w:lineRule="auto"/>
        <w:ind w:left="651"/>
        <w:jc w:val="both"/>
        <w:rPr>
          <w:rFonts w:ascii="David" w:hAnsi="David" w:cs="David"/>
          <w:sz w:val="24"/>
          <w:szCs w:val="24"/>
        </w:rPr>
      </w:pPr>
    </w:p>
    <w:p w:rsidR="00120007" w:rsidRPr="00BF61E8" w:rsidRDefault="00120007" w:rsidP="00BF61E8">
      <w:pPr>
        <w:pStyle w:val="ad"/>
        <w:numPr>
          <w:ilvl w:val="0"/>
          <w:numId w:val="1"/>
        </w:numPr>
        <w:spacing w:line="360" w:lineRule="auto"/>
        <w:ind w:left="651" w:hanging="651"/>
        <w:jc w:val="both"/>
        <w:rPr>
          <w:rFonts w:ascii="David" w:hAnsi="David" w:cs="David"/>
          <w:sz w:val="24"/>
          <w:szCs w:val="24"/>
        </w:rPr>
      </w:pPr>
      <w:r w:rsidRPr="00BF61E8">
        <w:rPr>
          <w:rFonts w:ascii="David" w:hAnsi="David" w:cs="David"/>
          <w:sz w:val="24"/>
          <w:szCs w:val="24"/>
          <w:rtl/>
        </w:rPr>
        <w:t xml:space="preserve">תביעת פירוק השיתוף, בהליך תמ"ש 45306-06-20 מתקבלת וניתן צו </w:t>
      </w:r>
      <w:r w:rsidR="00BF61E8">
        <w:rPr>
          <w:rFonts w:ascii="David" w:hAnsi="David" w:cs="David" w:hint="cs"/>
          <w:sz w:val="24"/>
          <w:szCs w:val="24"/>
          <w:rtl/>
        </w:rPr>
        <w:t>ל</w:t>
      </w:r>
      <w:r w:rsidRPr="00BF61E8">
        <w:rPr>
          <w:rFonts w:ascii="David" w:hAnsi="David" w:cs="David"/>
          <w:sz w:val="24"/>
          <w:szCs w:val="24"/>
          <w:rtl/>
        </w:rPr>
        <w:t xml:space="preserve">פירוק </w:t>
      </w:r>
      <w:r w:rsidR="00BF61E8">
        <w:rPr>
          <w:rFonts w:ascii="David" w:hAnsi="David" w:cs="David" w:hint="cs"/>
          <w:sz w:val="24"/>
          <w:szCs w:val="24"/>
          <w:rtl/>
        </w:rPr>
        <w:t>ה</w:t>
      </w:r>
      <w:r w:rsidRPr="00BF61E8">
        <w:rPr>
          <w:rFonts w:ascii="David" w:hAnsi="David" w:cs="David"/>
          <w:sz w:val="24"/>
          <w:szCs w:val="24"/>
          <w:rtl/>
        </w:rPr>
        <w:t xml:space="preserve">שיתוף </w:t>
      </w:r>
      <w:r w:rsidR="00BF61E8">
        <w:rPr>
          <w:rFonts w:ascii="David" w:hAnsi="David" w:cs="David" w:hint="cs"/>
          <w:sz w:val="24"/>
          <w:szCs w:val="24"/>
          <w:rtl/>
        </w:rPr>
        <w:t>בבית ב</w:t>
      </w:r>
      <w:r w:rsidR="00EE0F14">
        <w:rPr>
          <w:rFonts w:ascii="David" w:hAnsi="David" w:cs="David" w:hint="cs"/>
          <w:sz w:val="24"/>
          <w:szCs w:val="24"/>
        </w:rPr>
        <w:t>xxx</w:t>
      </w:r>
      <w:r w:rsidR="00BF61E8">
        <w:rPr>
          <w:rFonts w:ascii="David" w:hAnsi="David" w:cs="David" w:hint="cs"/>
          <w:sz w:val="24"/>
          <w:szCs w:val="24"/>
          <w:rtl/>
        </w:rPr>
        <w:t>, לאחר הסדרת רישום היורשים על פי צווי הירושה.</w:t>
      </w:r>
    </w:p>
    <w:p w:rsidR="00120007" w:rsidRPr="00BF61E8" w:rsidRDefault="00120007" w:rsidP="00120007">
      <w:pPr>
        <w:pStyle w:val="ad"/>
        <w:rPr>
          <w:rFonts w:ascii="David" w:hAnsi="David" w:cs="David"/>
          <w:sz w:val="24"/>
          <w:szCs w:val="24"/>
        </w:rPr>
      </w:pPr>
    </w:p>
    <w:p w:rsidR="00120007" w:rsidRPr="00BF61E8" w:rsidRDefault="00120007" w:rsidP="00BF61E8">
      <w:pPr>
        <w:pStyle w:val="ad"/>
        <w:numPr>
          <w:ilvl w:val="0"/>
          <w:numId w:val="1"/>
        </w:numPr>
        <w:spacing w:line="360" w:lineRule="auto"/>
        <w:ind w:left="651" w:hanging="651"/>
        <w:jc w:val="both"/>
        <w:rPr>
          <w:rFonts w:ascii="David" w:hAnsi="David" w:cs="David"/>
          <w:sz w:val="24"/>
          <w:szCs w:val="24"/>
          <w:rtl/>
        </w:rPr>
      </w:pPr>
      <w:r w:rsidRPr="00BF61E8">
        <w:rPr>
          <w:rFonts w:ascii="David" w:hAnsi="David" w:cs="David"/>
          <w:sz w:val="24"/>
          <w:szCs w:val="24"/>
          <w:rtl/>
        </w:rPr>
        <w:t xml:space="preserve">נוכח עתירתם החלופית של </w:t>
      </w:r>
      <w:r w:rsidR="008849B1" w:rsidRPr="00BF61E8">
        <w:rPr>
          <w:rFonts w:ascii="David" w:hAnsi="David" w:cs="David" w:hint="cs"/>
          <w:sz w:val="24"/>
          <w:szCs w:val="24"/>
          <w:rtl/>
        </w:rPr>
        <w:t>התובעים, במידה ותביעתם לפסק דין הצהרתי תידחה,</w:t>
      </w:r>
      <w:r w:rsidRPr="00BF61E8">
        <w:rPr>
          <w:rFonts w:ascii="David" w:hAnsi="David" w:cs="David"/>
          <w:sz w:val="24"/>
          <w:szCs w:val="24"/>
          <w:rtl/>
        </w:rPr>
        <w:t xml:space="preserve"> לרכוש את חלקם של </w:t>
      </w:r>
      <w:r w:rsidR="008849B1" w:rsidRPr="00BF61E8">
        <w:rPr>
          <w:rFonts w:ascii="David" w:hAnsi="David" w:cs="David" w:hint="cs"/>
          <w:sz w:val="24"/>
          <w:szCs w:val="24"/>
          <w:rtl/>
        </w:rPr>
        <w:t>הנתבעים</w:t>
      </w:r>
      <w:r w:rsidRPr="00BF61E8">
        <w:rPr>
          <w:rFonts w:ascii="David" w:hAnsi="David" w:cs="David"/>
          <w:sz w:val="24"/>
          <w:szCs w:val="24"/>
          <w:rtl/>
        </w:rPr>
        <w:t xml:space="preserve"> בדירה, </w:t>
      </w:r>
      <w:r w:rsidR="00BF61E8">
        <w:rPr>
          <w:rFonts w:ascii="David" w:hAnsi="David" w:cs="David" w:hint="cs"/>
          <w:sz w:val="24"/>
          <w:szCs w:val="24"/>
          <w:rtl/>
        </w:rPr>
        <w:t>ומפאת מגוריהם בבית ב</w:t>
      </w:r>
      <w:r w:rsidR="00EE0F14">
        <w:rPr>
          <w:rFonts w:ascii="David" w:hAnsi="David" w:cs="David" w:hint="cs"/>
          <w:sz w:val="24"/>
          <w:szCs w:val="24"/>
        </w:rPr>
        <w:t>xxx</w:t>
      </w:r>
      <w:r w:rsidR="00BF61E8">
        <w:rPr>
          <w:rFonts w:ascii="David" w:hAnsi="David" w:cs="David" w:hint="cs"/>
          <w:sz w:val="24"/>
          <w:szCs w:val="24"/>
          <w:rtl/>
        </w:rPr>
        <w:t xml:space="preserve">, </w:t>
      </w:r>
      <w:r w:rsidRPr="00BF61E8">
        <w:rPr>
          <w:rFonts w:ascii="David" w:hAnsi="David" w:cs="David"/>
          <w:sz w:val="24"/>
          <w:szCs w:val="24"/>
          <w:rtl/>
        </w:rPr>
        <w:t xml:space="preserve">הריני מורה כי יינתנו לתובעים 30 יום להודיע לנתבעים האם מעוניינים לרכוש את חלקם, וזאת על פי שווי </w:t>
      </w:r>
      <w:r w:rsidR="00BF61E8">
        <w:rPr>
          <w:rFonts w:ascii="David" w:hAnsi="David" w:cs="David" w:hint="cs"/>
          <w:sz w:val="24"/>
          <w:szCs w:val="24"/>
          <w:rtl/>
        </w:rPr>
        <w:t>הבית ב</w:t>
      </w:r>
      <w:r w:rsidR="00EE0F14">
        <w:rPr>
          <w:rFonts w:ascii="David" w:hAnsi="David" w:cs="David" w:hint="cs"/>
          <w:sz w:val="24"/>
          <w:szCs w:val="24"/>
        </w:rPr>
        <w:t>xxx</w:t>
      </w:r>
      <w:r w:rsidR="00BF61E8">
        <w:rPr>
          <w:rFonts w:ascii="David" w:hAnsi="David" w:cs="David" w:hint="cs"/>
          <w:sz w:val="24"/>
          <w:szCs w:val="24"/>
          <w:rtl/>
        </w:rPr>
        <w:t>,</w:t>
      </w:r>
      <w:r w:rsidRPr="00BF61E8">
        <w:rPr>
          <w:rFonts w:ascii="David" w:hAnsi="David" w:cs="David"/>
          <w:sz w:val="24"/>
          <w:szCs w:val="24"/>
          <w:rtl/>
        </w:rPr>
        <w:t xml:space="preserve"> אשר יקבע על ידי שמאי, </w:t>
      </w:r>
      <w:r w:rsidR="008849B1" w:rsidRPr="00BF61E8">
        <w:rPr>
          <w:rFonts w:ascii="David" w:hAnsi="David" w:cs="David" w:hint="cs"/>
          <w:sz w:val="24"/>
          <w:szCs w:val="24"/>
          <w:rtl/>
        </w:rPr>
        <w:t xml:space="preserve">שימונה על ידי בית המשפט, </w:t>
      </w:r>
      <w:r w:rsidRPr="00BF61E8">
        <w:rPr>
          <w:rFonts w:ascii="David" w:hAnsi="David" w:cs="David"/>
          <w:sz w:val="24"/>
          <w:szCs w:val="24"/>
          <w:rtl/>
        </w:rPr>
        <w:t xml:space="preserve">בניכוי שווי השקעתם בבנייה </w:t>
      </w:r>
      <w:r w:rsidR="00BF61E8">
        <w:rPr>
          <w:rFonts w:ascii="David" w:hAnsi="David" w:cs="David" w:hint="cs"/>
          <w:sz w:val="24"/>
          <w:szCs w:val="24"/>
          <w:rtl/>
        </w:rPr>
        <w:t>ה</w:t>
      </w:r>
      <w:r w:rsidRPr="00BF61E8">
        <w:rPr>
          <w:rFonts w:ascii="David" w:hAnsi="David" w:cs="David"/>
          <w:sz w:val="24"/>
          <w:szCs w:val="24"/>
          <w:rtl/>
        </w:rPr>
        <w:t>חוקית</w:t>
      </w:r>
      <w:r w:rsidR="008849B1" w:rsidRPr="00BF61E8">
        <w:rPr>
          <w:rFonts w:ascii="David" w:hAnsi="David" w:cs="David" w:hint="cs"/>
          <w:sz w:val="24"/>
          <w:szCs w:val="24"/>
          <w:rtl/>
        </w:rPr>
        <w:t xml:space="preserve"> בלבד, </w:t>
      </w:r>
      <w:r w:rsidR="00BF61E8">
        <w:rPr>
          <w:rFonts w:ascii="David" w:hAnsi="David" w:cs="David" w:hint="cs"/>
          <w:sz w:val="24"/>
          <w:szCs w:val="24"/>
          <w:rtl/>
        </w:rPr>
        <w:t>שגם זו תיקבע על ידי השמאי.</w:t>
      </w:r>
    </w:p>
    <w:p w:rsidR="00120007" w:rsidRPr="00BF61E8" w:rsidRDefault="00120007" w:rsidP="00120007">
      <w:pPr>
        <w:pStyle w:val="ad"/>
        <w:rPr>
          <w:rFonts w:ascii="David" w:hAnsi="David" w:cs="David"/>
          <w:sz w:val="24"/>
          <w:szCs w:val="24"/>
        </w:rPr>
      </w:pPr>
    </w:p>
    <w:p w:rsidR="008A71C9" w:rsidRPr="00D972B0" w:rsidRDefault="00BF61E8" w:rsidP="00D972B0">
      <w:pPr>
        <w:pStyle w:val="ad"/>
        <w:numPr>
          <w:ilvl w:val="0"/>
          <w:numId w:val="1"/>
        </w:numPr>
        <w:spacing w:line="360" w:lineRule="auto"/>
        <w:ind w:left="651" w:hanging="651"/>
        <w:jc w:val="both"/>
        <w:rPr>
          <w:rFonts w:ascii="David" w:hAnsi="David" w:cs="David"/>
          <w:sz w:val="24"/>
          <w:szCs w:val="24"/>
        </w:rPr>
      </w:pPr>
      <w:r w:rsidRPr="00BF61E8">
        <w:rPr>
          <w:rFonts w:ascii="David" w:hAnsi="David" w:cs="David" w:hint="cs"/>
          <w:sz w:val="24"/>
          <w:szCs w:val="24"/>
          <w:rtl/>
        </w:rPr>
        <w:t>לשם ביצוע חוות הדעת, הריני למנות את</w:t>
      </w:r>
      <w:r w:rsidR="00D972B0">
        <w:rPr>
          <w:rFonts w:ascii="David" w:hAnsi="David" w:cs="David" w:hint="cs"/>
          <w:sz w:val="24"/>
          <w:szCs w:val="24"/>
          <w:rtl/>
        </w:rPr>
        <w:t xml:space="preserve"> מר</w:t>
      </w:r>
      <w:r w:rsidRPr="00BF61E8">
        <w:rPr>
          <w:rFonts w:ascii="David" w:hAnsi="David" w:cs="David" w:hint="cs"/>
          <w:sz w:val="24"/>
          <w:szCs w:val="24"/>
          <w:rtl/>
        </w:rPr>
        <w:t xml:space="preserve"> סער פלד</w:t>
      </w:r>
      <w:r w:rsidR="00D972B0">
        <w:rPr>
          <w:rFonts w:ascii="David" w:hAnsi="David" w:cs="David" w:hint="cs"/>
          <w:sz w:val="24"/>
          <w:szCs w:val="24"/>
          <w:rtl/>
        </w:rPr>
        <w:t>,</w:t>
      </w:r>
      <w:r w:rsidRPr="00BF61E8">
        <w:rPr>
          <w:rFonts w:ascii="David" w:hAnsi="David" w:cs="David" w:hint="cs"/>
          <w:sz w:val="24"/>
          <w:szCs w:val="24"/>
          <w:rtl/>
        </w:rPr>
        <w:t xml:space="preserve"> מרח' בן יהודה 24/77 כפר סבא, כשמאי מטעם בית המשפט, אשר ישום את שווי הבית ב</w:t>
      </w:r>
      <w:r w:rsidR="00EE0F14">
        <w:rPr>
          <w:rFonts w:ascii="David" w:hAnsi="David" w:cs="David" w:hint="cs"/>
          <w:sz w:val="24"/>
          <w:szCs w:val="24"/>
        </w:rPr>
        <w:t>xxx</w:t>
      </w:r>
      <w:r w:rsidRPr="00BF61E8">
        <w:rPr>
          <w:rFonts w:ascii="David" w:hAnsi="David" w:cs="David" w:hint="cs"/>
          <w:sz w:val="24"/>
          <w:szCs w:val="24"/>
          <w:rtl/>
        </w:rPr>
        <w:t xml:space="preserve">. </w:t>
      </w:r>
      <w:r w:rsidRPr="00BF61E8">
        <w:rPr>
          <w:rFonts w:ascii="David" w:hAnsi="David" w:cs="David"/>
          <w:sz w:val="24"/>
          <w:szCs w:val="24"/>
          <w:rtl/>
        </w:rPr>
        <w:t xml:space="preserve">במסגרת חוות הדעת מתבקש השמאי לקבוע את </w:t>
      </w:r>
      <w:r w:rsidRPr="00BF61E8">
        <w:rPr>
          <w:rFonts w:ascii="David" w:hAnsi="David" w:cs="David" w:hint="cs"/>
          <w:sz w:val="24"/>
          <w:szCs w:val="24"/>
          <w:rtl/>
        </w:rPr>
        <w:t xml:space="preserve">שווי הבניה החוקית </w:t>
      </w:r>
      <w:r w:rsidR="00D972B0">
        <w:rPr>
          <w:rFonts w:ascii="David" w:hAnsi="David" w:cs="David" w:hint="cs"/>
          <w:sz w:val="24"/>
          <w:szCs w:val="24"/>
          <w:rtl/>
        </w:rPr>
        <w:t>שבוצעה על ידי התובעים</w:t>
      </w:r>
      <w:r w:rsidRPr="00BF61E8">
        <w:rPr>
          <w:rFonts w:ascii="David" w:hAnsi="David" w:cs="David" w:hint="cs"/>
          <w:sz w:val="24"/>
          <w:szCs w:val="24"/>
          <w:rtl/>
        </w:rPr>
        <w:t>. בעלות חוות הדעת ישאו התובעים ב- 50% והנתבעים ב- 50%, בחלקים שווים.</w:t>
      </w:r>
      <w:r w:rsidR="00D972B0">
        <w:rPr>
          <w:rFonts w:ascii="David" w:hAnsi="David" w:cs="David" w:hint="cs"/>
          <w:sz w:val="24"/>
          <w:szCs w:val="24"/>
          <w:rtl/>
        </w:rPr>
        <w:t xml:space="preserve"> </w:t>
      </w:r>
      <w:r w:rsidR="00120007" w:rsidRPr="00D972B0">
        <w:rPr>
          <w:rFonts w:ascii="David" w:hAnsi="David" w:cs="David"/>
          <w:sz w:val="24"/>
          <w:szCs w:val="24"/>
          <w:rtl/>
        </w:rPr>
        <w:t xml:space="preserve">השמאי יגיש חוות דעת שמאית עדכנית, בתוך 15 יום. </w:t>
      </w:r>
      <w:r w:rsidR="00D972B0">
        <w:rPr>
          <w:rFonts w:ascii="David" w:hAnsi="David" w:cs="David" w:hint="cs"/>
          <w:sz w:val="24"/>
          <w:szCs w:val="24"/>
          <w:rtl/>
        </w:rPr>
        <w:t xml:space="preserve"> ב"כ הצדדים יפנו בפניה משותפת לשמאי, וישלחו לו החלטה זו. בביקור השמאי בבית ב</w:t>
      </w:r>
      <w:r w:rsidR="00EE0F14">
        <w:rPr>
          <w:rFonts w:ascii="David" w:hAnsi="David" w:cs="David" w:hint="cs"/>
          <w:sz w:val="24"/>
          <w:szCs w:val="24"/>
        </w:rPr>
        <w:t>xxx</w:t>
      </w:r>
      <w:r w:rsidR="00D972B0">
        <w:rPr>
          <w:rFonts w:ascii="David" w:hAnsi="David" w:cs="David" w:hint="cs"/>
          <w:sz w:val="24"/>
          <w:szCs w:val="24"/>
          <w:rtl/>
        </w:rPr>
        <w:t>, יהיו נוכחים ב"כ הצדדים.</w:t>
      </w:r>
    </w:p>
    <w:p w:rsidR="00120007" w:rsidRPr="00BF61E8" w:rsidRDefault="00120007" w:rsidP="00120007">
      <w:pPr>
        <w:pStyle w:val="ad"/>
        <w:rPr>
          <w:rFonts w:ascii="David" w:hAnsi="David" w:cs="David"/>
          <w:sz w:val="24"/>
          <w:szCs w:val="24"/>
        </w:rPr>
      </w:pPr>
    </w:p>
    <w:p w:rsidR="00D972B0" w:rsidRDefault="00120007" w:rsidP="00D972B0">
      <w:pPr>
        <w:pStyle w:val="ad"/>
        <w:numPr>
          <w:ilvl w:val="0"/>
          <w:numId w:val="1"/>
        </w:numPr>
        <w:spacing w:line="360" w:lineRule="auto"/>
        <w:ind w:left="651" w:hanging="651"/>
        <w:jc w:val="both"/>
        <w:rPr>
          <w:rFonts w:ascii="David" w:hAnsi="David" w:cs="David"/>
          <w:sz w:val="24"/>
          <w:szCs w:val="24"/>
        </w:rPr>
      </w:pPr>
      <w:r w:rsidRPr="00BF61E8">
        <w:rPr>
          <w:rFonts w:ascii="David" w:hAnsi="David" w:cs="David"/>
          <w:sz w:val="24"/>
          <w:szCs w:val="24"/>
          <w:rtl/>
        </w:rPr>
        <w:t xml:space="preserve">ככל שהתובעים יודיעו כי אינם מעוניינים לרכוש את חלקם של הנתבעים </w:t>
      </w:r>
      <w:r w:rsidR="008A71C9" w:rsidRPr="00BF61E8">
        <w:rPr>
          <w:rFonts w:ascii="David" w:hAnsi="David" w:cs="David" w:hint="cs"/>
          <w:sz w:val="24"/>
          <w:szCs w:val="24"/>
          <w:rtl/>
        </w:rPr>
        <w:t>בבית ב</w:t>
      </w:r>
      <w:r w:rsidR="00EE0F14">
        <w:rPr>
          <w:rFonts w:ascii="David" w:hAnsi="David" w:cs="David" w:hint="cs"/>
          <w:sz w:val="24"/>
          <w:szCs w:val="24"/>
        </w:rPr>
        <w:t>xxx</w:t>
      </w:r>
      <w:r w:rsidRPr="00BF61E8">
        <w:rPr>
          <w:rFonts w:ascii="David" w:hAnsi="David" w:cs="David"/>
          <w:sz w:val="24"/>
          <w:szCs w:val="24"/>
          <w:rtl/>
        </w:rPr>
        <w:t>, יעמ</w:t>
      </w:r>
      <w:r w:rsidR="008A71C9" w:rsidRPr="00BF61E8">
        <w:rPr>
          <w:rFonts w:ascii="David" w:hAnsi="David" w:cs="David" w:hint="cs"/>
          <w:sz w:val="24"/>
          <w:szCs w:val="24"/>
          <w:rtl/>
        </w:rPr>
        <w:t>ו</w:t>
      </w:r>
      <w:r w:rsidRPr="00BF61E8">
        <w:rPr>
          <w:rFonts w:ascii="David" w:hAnsi="David" w:cs="David"/>
          <w:sz w:val="24"/>
          <w:szCs w:val="24"/>
          <w:rtl/>
        </w:rPr>
        <w:t>ד</w:t>
      </w:r>
      <w:r w:rsidR="008A71C9" w:rsidRPr="00BF61E8">
        <w:rPr>
          <w:rFonts w:ascii="David" w:hAnsi="David" w:cs="David" w:hint="cs"/>
          <w:sz w:val="24"/>
          <w:szCs w:val="24"/>
          <w:rtl/>
        </w:rPr>
        <w:t xml:space="preserve"> הבית ב</w:t>
      </w:r>
      <w:r w:rsidR="00EE0F14">
        <w:rPr>
          <w:rFonts w:ascii="David" w:hAnsi="David" w:cs="David" w:hint="cs"/>
          <w:sz w:val="24"/>
          <w:szCs w:val="24"/>
        </w:rPr>
        <w:t>xxx</w:t>
      </w:r>
      <w:r w:rsidRPr="00BF61E8">
        <w:rPr>
          <w:rFonts w:ascii="David" w:hAnsi="David" w:cs="David"/>
          <w:sz w:val="24"/>
          <w:szCs w:val="24"/>
          <w:rtl/>
        </w:rPr>
        <w:t xml:space="preserve"> למכירה בשוק החופשי, כאשר </w:t>
      </w:r>
      <w:r w:rsidR="008A71C9" w:rsidRPr="00BF61E8">
        <w:rPr>
          <w:rFonts w:ascii="David" w:hAnsi="David" w:cs="David" w:hint="cs"/>
          <w:sz w:val="24"/>
          <w:szCs w:val="24"/>
          <w:rtl/>
        </w:rPr>
        <w:t xml:space="preserve">האחריות על פירוק הבנייה הלא חוקית מוטלת על התובעים וכך גם העלויות שידרשו לשם כך. לבקשת אחד הצדדים, </w:t>
      </w:r>
      <w:r w:rsidR="00D972B0">
        <w:rPr>
          <w:rFonts w:ascii="David" w:hAnsi="David" w:cs="David" w:hint="cs"/>
          <w:sz w:val="24"/>
          <w:szCs w:val="24"/>
          <w:rtl/>
        </w:rPr>
        <w:t xml:space="preserve">בכל עת, </w:t>
      </w:r>
      <w:r w:rsidR="008A71C9" w:rsidRPr="00BF61E8">
        <w:rPr>
          <w:rFonts w:ascii="David" w:hAnsi="David" w:cs="David" w:hint="cs"/>
          <w:sz w:val="24"/>
          <w:szCs w:val="24"/>
          <w:rtl/>
        </w:rPr>
        <w:t>ימונו ב"כ הצדדים ככונסי נכסים לשם ביצוע המכירה לצד ג'</w:t>
      </w:r>
      <w:r w:rsidR="00D972B0">
        <w:rPr>
          <w:rFonts w:ascii="David" w:hAnsi="David" w:cs="David" w:hint="cs"/>
          <w:sz w:val="24"/>
          <w:szCs w:val="24"/>
          <w:rtl/>
        </w:rPr>
        <w:t xml:space="preserve"> על כל המשתמע</w:t>
      </w:r>
      <w:r w:rsidR="008A71C9" w:rsidRPr="00BF61E8">
        <w:rPr>
          <w:rFonts w:ascii="David" w:hAnsi="David" w:cs="David" w:hint="cs"/>
          <w:sz w:val="24"/>
          <w:szCs w:val="24"/>
          <w:rtl/>
        </w:rPr>
        <w:t>.</w:t>
      </w:r>
    </w:p>
    <w:p w:rsidR="00D972B0" w:rsidRPr="00D972B0" w:rsidRDefault="00D972B0" w:rsidP="00D972B0">
      <w:pPr>
        <w:pStyle w:val="ad"/>
        <w:rPr>
          <w:rFonts w:ascii="David" w:hAnsi="David" w:cs="David"/>
          <w:sz w:val="24"/>
          <w:szCs w:val="24"/>
          <w:rtl/>
        </w:rPr>
      </w:pPr>
    </w:p>
    <w:p w:rsidR="00D972B0" w:rsidRDefault="00BF61E8" w:rsidP="00D972B0">
      <w:pPr>
        <w:pStyle w:val="ad"/>
        <w:numPr>
          <w:ilvl w:val="0"/>
          <w:numId w:val="1"/>
        </w:numPr>
        <w:spacing w:line="360" w:lineRule="auto"/>
        <w:ind w:left="651" w:hanging="651"/>
        <w:jc w:val="both"/>
        <w:rPr>
          <w:rFonts w:ascii="David" w:hAnsi="David" w:cs="David"/>
          <w:sz w:val="24"/>
          <w:szCs w:val="24"/>
        </w:rPr>
      </w:pPr>
      <w:r w:rsidRPr="00D972B0">
        <w:rPr>
          <w:rFonts w:ascii="David" w:hAnsi="David" w:cs="David" w:hint="cs"/>
          <w:sz w:val="24"/>
          <w:szCs w:val="24"/>
          <w:rtl/>
        </w:rPr>
        <w:t xml:space="preserve">לאור התוצאה אליה הגעתי, דחיית תביעת התובעים וקבלת תביעת הנתבעים, </w:t>
      </w:r>
      <w:r w:rsidRPr="00D972B0">
        <w:rPr>
          <w:rFonts w:ascii="David" w:hAnsi="David" w:cs="David"/>
          <w:sz w:val="24"/>
          <w:szCs w:val="24"/>
          <w:rtl/>
        </w:rPr>
        <w:t xml:space="preserve">יישאו </w:t>
      </w:r>
      <w:r w:rsidRPr="00D972B0">
        <w:rPr>
          <w:rFonts w:ascii="David" w:hAnsi="David" w:cs="David" w:hint="cs"/>
          <w:sz w:val="24"/>
          <w:szCs w:val="24"/>
          <w:rtl/>
        </w:rPr>
        <w:t xml:space="preserve">התובעים </w:t>
      </w:r>
      <w:r w:rsidRPr="00D972B0">
        <w:rPr>
          <w:rFonts w:ascii="David" w:hAnsi="David" w:cs="David"/>
          <w:sz w:val="24"/>
          <w:szCs w:val="24"/>
          <w:rtl/>
        </w:rPr>
        <w:t>בהוצאות הנתבעים</w:t>
      </w:r>
      <w:r w:rsidRPr="00D972B0">
        <w:rPr>
          <w:rFonts w:ascii="David" w:hAnsi="David" w:cs="David" w:hint="cs"/>
          <w:sz w:val="24"/>
          <w:szCs w:val="24"/>
          <w:rtl/>
        </w:rPr>
        <w:t xml:space="preserve">, בגין ניהול ההליכים, </w:t>
      </w:r>
      <w:r w:rsidRPr="00D972B0">
        <w:rPr>
          <w:rFonts w:ascii="David" w:hAnsi="David" w:cs="David"/>
          <w:sz w:val="24"/>
          <w:szCs w:val="24"/>
          <w:rtl/>
        </w:rPr>
        <w:t>בסך 55,000 ₪, אשר ישולמו בתוך 30 ימים.</w:t>
      </w:r>
    </w:p>
    <w:p w:rsidR="00D972B0" w:rsidRPr="00D972B0" w:rsidRDefault="00D972B0" w:rsidP="00D972B0">
      <w:pPr>
        <w:pStyle w:val="ad"/>
        <w:rPr>
          <w:rFonts w:ascii="David" w:hAnsi="David" w:cs="David"/>
          <w:sz w:val="24"/>
          <w:szCs w:val="24"/>
          <w:highlight w:val="green"/>
          <w:rtl/>
        </w:rPr>
      </w:pPr>
    </w:p>
    <w:p w:rsidR="00120007" w:rsidRPr="00D972B0" w:rsidRDefault="00120007" w:rsidP="00D972B0">
      <w:pPr>
        <w:pStyle w:val="ad"/>
        <w:numPr>
          <w:ilvl w:val="0"/>
          <w:numId w:val="1"/>
        </w:numPr>
        <w:spacing w:line="360" w:lineRule="auto"/>
        <w:ind w:left="651" w:hanging="651"/>
        <w:jc w:val="both"/>
        <w:rPr>
          <w:rFonts w:ascii="David" w:hAnsi="David" w:cs="David"/>
          <w:sz w:val="24"/>
          <w:szCs w:val="24"/>
          <w:rtl/>
        </w:rPr>
      </w:pPr>
      <w:r w:rsidRPr="00D972B0">
        <w:rPr>
          <w:rFonts w:ascii="David" w:hAnsi="David" w:cs="David"/>
          <w:sz w:val="24"/>
          <w:szCs w:val="24"/>
          <w:rtl/>
        </w:rPr>
        <w:t>התיק יסגר.</w:t>
      </w:r>
    </w:p>
    <w:p w:rsidR="00120007" w:rsidRPr="00D972B0" w:rsidRDefault="00120007" w:rsidP="00120007">
      <w:pPr>
        <w:pStyle w:val="ad"/>
        <w:rPr>
          <w:rFonts w:ascii="David" w:hAnsi="David" w:cs="David"/>
          <w:sz w:val="24"/>
          <w:szCs w:val="24"/>
        </w:rPr>
      </w:pPr>
    </w:p>
    <w:p w:rsidR="00120007" w:rsidRPr="00D972B0" w:rsidRDefault="00120007" w:rsidP="00120007">
      <w:pPr>
        <w:pStyle w:val="ad"/>
        <w:numPr>
          <w:ilvl w:val="0"/>
          <w:numId w:val="1"/>
        </w:numPr>
        <w:spacing w:line="360" w:lineRule="auto"/>
        <w:ind w:left="651" w:hanging="651"/>
        <w:jc w:val="both"/>
        <w:rPr>
          <w:rFonts w:ascii="David" w:hAnsi="David" w:cs="David"/>
          <w:sz w:val="24"/>
          <w:szCs w:val="24"/>
          <w:rtl/>
        </w:rPr>
      </w:pPr>
      <w:r w:rsidRPr="00D972B0">
        <w:rPr>
          <w:rFonts w:ascii="David" w:hAnsi="David" w:cs="David"/>
          <w:sz w:val="24"/>
          <w:szCs w:val="24"/>
          <w:rtl/>
        </w:rPr>
        <w:t xml:space="preserve">מותר לפרסום בהשמטת פרטים מזהים. </w:t>
      </w:r>
    </w:p>
    <w:p w:rsidR="00120007" w:rsidRDefault="00120007" w:rsidP="00120007">
      <w:pPr>
        <w:pStyle w:val="ad"/>
        <w:ind w:left="651" w:hanging="651"/>
        <w:rPr>
          <w:rFonts w:ascii="David" w:hAnsi="David" w:cs="David"/>
          <w:sz w:val="24"/>
          <w:szCs w:val="24"/>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י"א סיוון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31 מאי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001A4E" w:rsidP="00633C4F">
      <w:pPr>
        <w:spacing w:line="360" w:lineRule="auto"/>
        <w:ind w:left="3600" w:firstLine="720"/>
      </w:pPr>
      <w:sdt>
        <w:sdtPr>
          <w:rPr>
            <w:rtl/>
          </w:rPr>
          <w:alias w:val="MergeField"/>
          <w:tag w:val="1237"/>
          <w:id w:val="-365378045"/>
        </w:sdtPr>
        <w:sdtEndPr/>
        <w:sdtContent>
          <w:r w:rsidR="007A013B">
            <w:drawing>
              <wp:inline distT="0" distB="0" distL="0" distR="0" wp14:editId="50D07946">
                <wp:extent cx="1123950"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123950" cy="9429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1A4E" w:rsidRDefault="00001A4E">
      <w:r>
        <w:separator/>
      </w:r>
    </w:p>
  </w:endnote>
  <w:endnote w:type="continuationSeparator" w:id="0">
    <w:p w:rsidR="00001A4E" w:rsidRDefault="00001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0B11" w:rsidRDefault="00990B1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90B1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90B11">
      <w:rPr>
        <w:rStyle w:val="ab"/>
        <w:rtl/>
      </w:rPr>
      <w:t>19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0B11" w:rsidRDefault="00990B1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1A4E" w:rsidRDefault="00001A4E">
      <w:r>
        <w:separator/>
      </w:r>
    </w:p>
  </w:footnote>
  <w:footnote w:type="continuationSeparator" w:id="0">
    <w:p w:rsidR="00001A4E" w:rsidRDefault="00001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0B11" w:rsidRDefault="00990B1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001A4E" w:rsidP="008559ED">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תמ"ש</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8559ED" w:rsidRPr="00023AF5">
                <w:rPr>
                  <w:b/>
                  <w:bCs/>
                  <w:noProof w:val="0"/>
                  <w:sz w:val="26"/>
                  <w:szCs w:val="26"/>
                  <w:rtl/>
                </w:rPr>
                <w:t>24044-09-20</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024ADD">
                <w:rPr>
                  <w:b/>
                  <w:bCs/>
                  <w:noProof w:val="0"/>
                  <w:sz w:val="26"/>
                  <w:szCs w:val="26"/>
                  <w:rtl/>
                </w:rPr>
                <w:t>ב</w:t>
              </w:r>
              <w:r w:rsidR="00024ADD">
                <w:rPr>
                  <w:rFonts w:hint="cs"/>
                  <w:b/>
                  <w:bCs/>
                  <w:noProof w:val="0"/>
                  <w:sz w:val="26"/>
                  <w:szCs w:val="26"/>
                  <w:rtl/>
                </w:rPr>
                <w:t xml:space="preserve">' </w:t>
              </w:r>
              <w:r w:rsidR="00024ADD">
                <w:rPr>
                  <w:b/>
                  <w:bCs/>
                  <w:noProof w:val="0"/>
                  <w:sz w:val="26"/>
                  <w:szCs w:val="26"/>
                  <w:rtl/>
                </w:rPr>
                <w:t>ואח' נ' ב</w:t>
              </w:r>
              <w:r w:rsidR="00024ADD">
                <w:rPr>
                  <w:rFonts w:hint="cs"/>
                  <w:b/>
                  <w:bCs/>
                  <w:noProof w:val="0"/>
                  <w:sz w:val="26"/>
                  <w:szCs w:val="26"/>
                  <w:rtl/>
                </w:rPr>
                <w:t>'</w:t>
              </w:r>
              <w:r w:rsidR="00E44DDF">
                <w:rPr>
                  <w:b/>
                  <w:bCs/>
                  <w:noProof w:val="0"/>
                  <w:sz w:val="26"/>
                  <w:szCs w:val="26"/>
                  <w:rtl/>
                </w:rPr>
                <w:t xml:space="preserve"> ואח'</w:t>
              </w:r>
              <w:r w:rsidR="00C63A5B">
                <w:rPr>
                  <w:b/>
                  <w:bCs/>
                  <w:noProof w:val="0"/>
                  <w:sz w:val="26"/>
                  <w:szCs w:val="26"/>
                  <w:rtl/>
                </w:rPr>
                <w:br/>
              </w:r>
              <w:r w:rsidR="00C63A5B">
                <w:rPr>
                  <w:rFonts w:hint="cs"/>
                  <w:b/>
                  <w:bCs/>
                  <w:noProof w:val="0"/>
                  <w:sz w:val="26"/>
                  <w:szCs w:val="26"/>
                  <w:rtl/>
                </w:rPr>
                <w:t xml:space="preserve">תמ"ש </w:t>
              </w:r>
              <w:r w:rsidR="008559ED">
                <w:rPr>
                  <w:rFonts w:hint="cs"/>
                  <w:b/>
                  <w:bCs/>
                  <w:noProof w:val="0"/>
                  <w:sz w:val="26"/>
                  <w:szCs w:val="26"/>
                  <w:rtl/>
                </w:rPr>
                <w:t>45306-06-20</w:t>
              </w:r>
              <w:r w:rsidR="00C63A5B">
                <w:rPr>
                  <w:rFonts w:hint="cs"/>
                  <w:b/>
                  <w:bCs/>
                  <w:noProof w:val="0"/>
                  <w:sz w:val="26"/>
                  <w:szCs w:val="26"/>
                  <w:rtl/>
                </w:rPr>
                <w:t xml:space="preserve"> </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0B11" w:rsidRDefault="00990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E46D94"/>
    <w:multiLevelType w:val="hybridMultilevel"/>
    <w:tmpl w:val="8DCC545C"/>
    <w:lvl w:ilvl="0" w:tplc="A058CD66">
      <w:start w:val="1"/>
      <w:numFmt w:val="hebrew1"/>
      <w:lvlText w:val="%1."/>
      <w:lvlJc w:val="left"/>
      <w:pPr>
        <w:ind w:left="1011" w:hanging="360"/>
      </w:pPr>
    </w:lvl>
    <w:lvl w:ilvl="1" w:tplc="5F6624EA">
      <w:start w:val="1"/>
      <w:numFmt w:val="lowerLetter"/>
      <w:lvlText w:val="%2."/>
      <w:lvlJc w:val="left"/>
      <w:pPr>
        <w:ind w:left="1731" w:hanging="360"/>
      </w:pPr>
    </w:lvl>
    <w:lvl w:ilvl="2" w:tplc="A2483EA6">
      <w:start w:val="1"/>
      <w:numFmt w:val="lowerRoman"/>
      <w:lvlText w:val="%3."/>
      <w:lvlJc w:val="right"/>
      <w:pPr>
        <w:ind w:left="2451" w:hanging="180"/>
      </w:pPr>
    </w:lvl>
    <w:lvl w:ilvl="3" w:tplc="BC06AA62">
      <w:start w:val="1"/>
      <w:numFmt w:val="decimal"/>
      <w:lvlText w:val="%4."/>
      <w:lvlJc w:val="left"/>
      <w:pPr>
        <w:ind w:left="3171" w:hanging="360"/>
      </w:pPr>
    </w:lvl>
    <w:lvl w:ilvl="4" w:tplc="261C793C">
      <w:start w:val="1"/>
      <w:numFmt w:val="lowerLetter"/>
      <w:lvlText w:val="%5."/>
      <w:lvlJc w:val="left"/>
      <w:pPr>
        <w:ind w:left="3891" w:hanging="360"/>
      </w:pPr>
    </w:lvl>
    <w:lvl w:ilvl="5" w:tplc="6C32441E">
      <w:start w:val="1"/>
      <w:numFmt w:val="lowerRoman"/>
      <w:lvlText w:val="%6."/>
      <w:lvlJc w:val="right"/>
      <w:pPr>
        <w:ind w:left="4611" w:hanging="180"/>
      </w:pPr>
    </w:lvl>
    <w:lvl w:ilvl="6" w:tplc="BF86EBD0">
      <w:start w:val="1"/>
      <w:numFmt w:val="decimal"/>
      <w:lvlText w:val="%7."/>
      <w:lvlJc w:val="left"/>
      <w:pPr>
        <w:ind w:left="5331" w:hanging="360"/>
      </w:pPr>
    </w:lvl>
    <w:lvl w:ilvl="7" w:tplc="42A4D9A0">
      <w:start w:val="1"/>
      <w:numFmt w:val="lowerLetter"/>
      <w:lvlText w:val="%8."/>
      <w:lvlJc w:val="left"/>
      <w:pPr>
        <w:ind w:left="6051" w:hanging="360"/>
      </w:pPr>
    </w:lvl>
    <w:lvl w:ilvl="8" w:tplc="6D9C51D2">
      <w:start w:val="1"/>
      <w:numFmt w:val="lowerRoman"/>
      <w:lvlText w:val="%9."/>
      <w:lvlJc w:val="right"/>
      <w:pPr>
        <w:ind w:left="6771" w:hanging="180"/>
      </w:pPr>
    </w:lvl>
  </w:abstractNum>
  <w:abstractNum w:abstractNumId="1" w15:restartNumberingAfterBreak="0">
    <w:nsid w:val="53C73CC2"/>
    <w:multiLevelType w:val="hybridMultilevel"/>
    <w:tmpl w:val="803CEB7A"/>
    <w:lvl w:ilvl="0" w:tplc="E33C33E4">
      <w:start w:val="1"/>
      <w:numFmt w:val="hebrew1"/>
      <w:lvlText w:val="%1."/>
      <w:lvlJc w:val="left"/>
      <w:pPr>
        <w:ind w:left="586" w:hanging="360"/>
      </w:pPr>
    </w:lvl>
    <w:lvl w:ilvl="1" w:tplc="FBAC9278">
      <w:start w:val="1"/>
      <w:numFmt w:val="lowerLetter"/>
      <w:lvlText w:val="%2."/>
      <w:lvlJc w:val="left"/>
      <w:pPr>
        <w:ind w:left="1306" w:hanging="360"/>
      </w:pPr>
    </w:lvl>
    <w:lvl w:ilvl="2" w:tplc="7206F072">
      <w:start w:val="1"/>
      <w:numFmt w:val="lowerRoman"/>
      <w:lvlText w:val="%3."/>
      <w:lvlJc w:val="right"/>
      <w:pPr>
        <w:ind w:left="2026" w:hanging="180"/>
      </w:pPr>
    </w:lvl>
    <w:lvl w:ilvl="3" w:tplc="D3FAAFC8">
      <w:start w:val="1"/>
      <w:numFmt w:val="decimal"/>
      <w:lvlText w:val="%4."/>
      <w:lvlJc w:val="left"/>
      <w:pPr>
        <w:ind w:left="2746" w:hanging="360"/>
      </w:pPr>
    </w:lvl>
    <w:lvl w:ilvl="4" w:tplc="2974B8DC">
      <w:start w:val="1"/>
      <w:numFmt w:val="lowerLetter"/>
      <w:lvlText w:val="%5."/>
      <w:lvlJc w:val="left"/>
      <w:pPr>
        <w:ind w:left="3466" w:hanging="360"/>
      </w:pPr>
    </w:lvl>
    <w:lvl w:ilvl="5" w:tplc="79ECF6F2">
      <w:start w:val="1"/>
      <w:numFmt w:val="lowerRoman"/>
      <w:lvlText w:val="%6."/>
      <w:lvlJc w:val="right"/>
      <w:pPr>
        <w:ind w:left="4186" w:hanging="180"/>
      </w:pPr>
    </w:lvl>
    <w:lvl w:ilvl="6" w:tplc="2DF6A61C">
      <w:start w:val="1"/>
      <w:numFmt w:val="decimal"/>
      <w:lvlText w:val="%7."/>
      <w:lvlJc w:val="left"/>
      <w:pPr>
        <w:ind w:left="4906" w:hanging="360"/>
      </w:pPr>
    </w:lvl>
    <w:lvl w:ilvl="7" w:tplc="2AA0A068">
      <w:start w:val="1"/>
      <w:numFmt w:val="lowerLetter"/>
      <w:lvlText w:val="%8."/>
      <w:lvlJc w:val="left"/>
      <w:pPr>
        <w:ind w:left="5626" w:hanging="360"/>
      </w:pPr>
    </w:lvl>
    <w:lvl w:ilvl="8" w:tplc="34D2AE4A">
      <w:start w:val="1"/>
      <w:numFmt w:val="lowerRoman"/>
      <w:lvlText w:val="%9."/>
      <w:lvlJc w:val="right"/>
      <w:pPr>
        <w:ind w:left="6346" w:hanging="180"/>
      </w:pPr>
    </w:lvl>
  </w:abstractNum>
  <w:abstractNum w:abstractNumId="2" w15:restartNumberingAfterBreak="0">
    <w:nsid w:val="78581EEC"/>
    <w:multiLevelType w:val="hybridMultilevel"/>
    <w:tmpl w:val="28B03868"/>
    <w:lvl w:ilvl="0" w:tplc="928A4AE2">
      <w:start w:val="1"/>
      <w:numFmt w:val="decimal"/>
      <w:lvlText w:val="%1."/>
      <w:lvlJc w:val="left"/>
      <w:pPr>
        <w:ind w:left="360" w:hanging="360"/>
      </w:pPr>
      <w:rPr>
        <w:lang w:bidi="he-IL"/>
      </w:rPr>
    </w:lvl>
    <w:lvl w:ilvl="1" w:tplc="21808300">
      <w:start w:val="1"/>
      <w:numFmt w:val="lowerLetter"/>
      <w:lvlText w:val="%2."/>
      <w:lvlJc w:val="left"/>
      <w:pPr>
        <w:ind w:left="1440" w:hanging="360"/>
      </w:pPr>
    </w:lvl>
    <w:lvl w:ilvl="2" w:tplc="11CC205E">
      <w:start w:val="1"/>
      <w:numFmt w:val="lowerRoman"/>
      <w:lvlText w:val="%3."/>
      <w:lvlJc w:val="right"/>
      <w:pPr>
        <w:ind w:left="2160" w:hanging="180"/>
      </w:pPr>
    </w:lvl>
    <w:lvl w:ilvl="3" w:tplc="FCC00BB0">
      <w:start w:val="1"/>
      <w:numFmt w:val="decimal"/>
      <w:lvlText w:val="%4."/>
      <w:lvlJc w:val="left"/>
      <w:pPr>
        <w:ind w:left="2880" w:hanging="360"/>
      </w:pPr>
    </w:lvl>
    <w:lvl w:ilvl="4" w:tplc="AF80688A">
      <w:start w:val="1"/>
      <w:numFmt w:val="lowerLetter"/>
      <w:lvlText w:val="%5."/>
      <w:lvlJc w:val="left"/>
      <w:pPr>
        <w:ind w:left="3600" w:hanging="360"/>
      </w:pPr>
    </w:lvl>
    <w:lvl w:ilvl="5" w:tplc="DC428620">
      <w:start w:val="1"/>
      <w:numFmt w:val="lowerRoman"/>
      <w:lvlText w:val="%6."/>
      <w:lvlJc w:val="right"/>
      <w:pPr>
        <w:ind w:left="4320" w:hanging="180"/>
      </w:pPr>
    </w:lvl>
    <w:lvl w:ilvl="6" w:tplc="12A0C98E">
      <w:start w:val="1"/>
      <w:numFmt w:val="decimal"/>
      <w:lvlText w:val="%7."/>
      <w:lvlJc w:val="left"/>
      <w:pPr>
        <w:ind w:left="5040" w:hanging="360"/>
      </w:pPr>
    </w:lvl>
    <w:lvl w:ilvl="7" w:tplc="C736FBF2">
      <w:start w:val="1"/>
      <w:numFmt w:val="lowerLetter"/>
      <w:lvlText w:val="%8."/>
      <w:lvlJc w:val="left"/>
      <w:pPr>
        <w:ind w:left="5760" w:hanging="360"/>
      </w:pPr>
    </w:lvl>
    <w:lvl w:ilvl="8" w:tplc="16646320">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1A4E"/>
    <w:rsid w:val="00005C8B"/>
    <w:rsid w:val="000112F8"/>
    <w:rsid w:val="000146C2"/>
    <w:rsid w:val="00016C35"/>
    <w:rsid w:val="00024ADD"/>
    <w:rsid w:val="000258FD"/>
    <w:rsid w:val="000564AB"/>
    <w:rsid w:val="000D4A02"/>
    <w:rsid w:val="000F694F"/>
    <w:rsid w:val="001072A9"/>
    <w:rsid w:val="001135BC"/>
    <w:rsid w:val="00120007"/>
    <w:rsid w:val="00121F97"/>
    <w:rsid w:val="001255F9"/>
    <w:rsid w:val="001277D7"/>
    <w:rsid w:val="00132017"/>
    <w:rsid w:val="00136376"/>
    <w:rsid w:val="0014234E"/>
    <w:rsid w:val="00145A87"/>
    <w:rsid w:val="0015192B"/>
    <w:rsid w:val="00175364"/>
    <w:rsid w:val="00191747"/>
    <w:rsid w:val="001C4003"/>
    <w:rsid w:val="001C4AEC"/>
    <w:rsid w:val="001D380E"/>
    <w:rsid w:val="001F5474"/>
    <w:rsid w:val="00220E0E"/>
    <w:rsid w:val="002352F7"/>
    <w:rsid w:val="00264F8F"/>
    <w:rsid w:val="0027277D"/>
    <w:rsid w:val="0029113D"/>
    <w:rsid w:val="003367C5"/>
    <w:rsid w:val="0034490D"/>
    <w:rsid w:val="00357827"/>
    <w:rsid w:val="003663C7"/>
    <w:rsid w:val="00377787"/>
    <w:rsid w:val="00381D3A"/>
    <w:rsid w:val="003823DA"/>
    <w:rsid w:val="0039123E"/>
    <w:rsid w:val="003A4A34"/>
    <w:rsid w:val="003B5BDC"/>
    <w:rsid w:val="003C7A79"/>
    <w:rsid w:val="00412926"/>
    <w:rsid w:val="0043595F"/>
    <w:rsid w:val="0047645A"/>
    <w:rsid w:val="004C497E"/>
    <w:rsid w:val="004D49A3"/>
    <w:rsid w:val="004D50AC"/>
    <w:rsid w:val="004E6E3C"/>
    <w:rsid w:val="0050509F"/>
    <w:rsid w:val="005124F1"/>
    <w:rsid w:val="00525DB5"/>
    <w:rsid w:val="00530BAD"/>
    <w:rsid w:val="00541598"/>
    <w:rsid w:val="00547DB7"/>
    <w:rsid w:val="00567324"/>
    <w:rsid w:val="005765BE"/>
    <w:rsid w:val="005B0F49"/>
    <w:rsid w:val="005C7EC6"/>
    <w:rsid w:val="005D4BDB"/>
    <w:rsid w:val="00622BAA"/>
    <w:rsid w:val="00625C89"/>
    <w:rsid w:val="00633C4F"/>
    <w:rsid w:val="00671BD5"/>
    <w:rsid w:val="006805C1"/>
    <w:rsid w:val="006816EC"/>
    <w:rsid w:val="00694556"/>
    <w:rsid w:val="006E1A53"/>
    <w:rsid w:val="007056AA"/>
    <w:rsid w:val="00744F41"/>
    <w:rsid w:val="00787FCD"/>
    <w:rsid w:val="007A013B"/>
    <w:rsid w:val="007A24FE"/>
    <w:rsid w:val="007A35AA"/>
    <w:rsid w:val="007F1048"/>
    <w:rsid w:val="00814740"/>
    <w:rsid w:val="00820005"/>
    <w:rsid w:val="00846D27"/>
    <w:rsid w:val="008559ED"/>
    <w:rsid w:val="008610A7"/>
    <w:rsid w:val="00866081"/>
    <w:rsid w:val="008849B1"/>
    <w:rsid w:val="00896FB1"/>
    <w:rsid w:val="008A71C9"/>
    <w:rsid w:val="008E0D2F"/>
    <w:rsid w:val="008E1332"/>
    <w:rsid w:val="008E1DCB"/>
    <w:rsid w:val="00903896"/>
    <w:rsid w:val="00927813"/>
    <w:rsid w:val="00944D13"/>
    <w:rsid w:val="00957C90"/>
    <w:rsid w:val="00990B11"/>
    <w:rsid w:val="009B70F6"/>
    <w:rsid w:val="009C358E"/>
    <w:rsid w:val="009D6215"/>
    <w:rsid w:val="009E0263"/>
    <w:rsid w:val="00A267CF"/>
    <w:rsid w:val="00A43458"/>
    <w:rsid w:val="00A45013"/>
    <w:rsid w:val="00A916BE"/>
    <w:rsid w:val="00AC4E19"/>
    <w:rsid w:val="00AF1ED6"/>
    <w:rsid w:val="00AF30EF"/>
    <w:rsid w:val="00B32C61"/>
    <w:rsid w:val="00B368FE"/>
    <w:rsid w:val="00B6639E"/>
    <w:rsid w:val="00B80CBD"/>
    <w:rsid w:val="00BC3369"/>
    <w:rsid w:val="00BF61E8"/>
    <w:rsid w:val="00BF77EE"/>
    <w:rsid w:val="00C1621C"/>
    <w:rsid w:val="00C32E0F"/>
    <w:rsid w:val="00C42BF9"/>
    <w:rsid w:val="00C47B04"/>
    <w:rsid w:val="00C63A5B"/>
    <w:rsid w:val="00C65BFA"/>
    <w:rsid w:val="00C83E56"/>
    <w:rsid w:val="00CC63CE"/>
    <w:rsid w:val="00CE5A86"/>
    <w:rsid w:val="00D319B3"/>
    <w:rsid w:val="00D36A71"/>
    <w:rsid w:val="00D518D4"/>
    <w:rsid w:val="00D53924"/>
    <w:rsid w:val="00D60849"/>
    <w:rsid w:val="00D96D8C"/>
    <w:rsid w:val="00D972B0"/>
    <w:rsid w:val="00DA755B"/>
    <w:rsid w:val="00DD307A"/>
    <w:rsid w:val="00DD337E"/>
    <w:rsid w:val="00DF0F1A"/>
    <w:rsid w:val="00E00B6F"/>
    <w:rsid w:val="00E36A58"/>
    <w:rsid w:val="00E41B74"/>
    <w:rsid w:val="00E44DDF"/>
    <w:rsid w:val="00E54642"/>
    <w:rsid w:val="00E97908"/>
    <w:rsid w:val="00EC18E2"/>
    <w:rsid w:val="00EE0F14"/>
    <w:rsid w:val="00EF3ED0"/>
    <w:rsid w:val="00F17E56"/>
    <w:rsid w:val="00F4113A"/>
    <w:rsid w:val="00F43489"/>
    <w:rsid w:val="00F43A59"/>
    <w:rsid w:val="00FF0FB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120007"/>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211558">
      <w:bodyDiv w:val="1"/>
      <w:marLeft w:val="0"/>
      <w:marRight w:val="0"/>
      <w:marTop w:val="0"/>
      <w:marBottom w:val="0"/>
      <w:divBdr>
        <w:top w:val="none" w:sz="0" w:space="0" w:color="auto"/>
        <w:left w:val="none" w:sz="0" w:space="0" w:color="auto"/>
        <w:bottom w:val="none" w:sz="0" w:space="0" w:color="auto"/>
        <w:right w:val="none" w:sz="0" w:space="0" w:color="auto"/>
      </w:divBdr>
    </w:div>
    <w:div w:id="841624236">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27F67"/>
    <w:rsid w:val="00200BA6"/>
    <w:rsid w:val="00792CF3"/>
    <w:rsid w:val="009D172F"/>
    <w:rsid w:val="00B40AEB"/>
    <w:rsid w:val="00B65812"/>
    <w:rsid w:val="00CC5512"/>
    <w:rsid w:val="00D85F7A"/>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806FE3BBB1CF4E798A47A57943A0FB6C">
    <w:name w:val="806FE3BBB1CF4E798A47A57943A0FB6C"/>
    <w:rsid w:val="00027F67"/>
    <w:pPr>
      <w:bidi/>
    </w:pPr>
  </w:style>
  <w:style w:type="paragraph" w:customStyle="1" w:styleId="CD8EBB18556A4A348CDE31F24045F143">
    <w:name w:val="CD8EBB18556A4A348CDE31F24045F143"/>
    <w:rsid w:val="00027F67"/>
    <w:pPr>
      <w:bidi/>
    </w:pPr>
  </w:style>
  <w:style w:type="paragraph" w:customStyle="1" w:styleId="A80E1501B4324D6AA63A49971493DCE0">
    <w:name w:val="A80E1501B4324D6AA63A49971493DCE0"/>
    <w:rsid w:val="009D172F"/>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5488</Words>
  <Characters>27441</Characters>
  <Application>Microsoft Office Word</Application>
  <DocSecurity>0</DocSecurity>
  <Lines>228</Lines>
  <Paragraphs>65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2023-06-20T05:48:00Z</dcterms:created>
  <dcterms:modified xsi:type="dcterms:W3CDTF">2023-06-20T05:48:00Z</dcterms:modified>
</cp:coreProperties>
</file>